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0" w:name="_Toc59612908"/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系统前期准备</w:t>
      </w:r>
      <w:bookmarkEnd w:id="0"/>
    </w:p>
    <w:p>
      <w:pPr>
        <w:pStyle w:val="3"/>
        <w:rPr>
          <w:rFonts w:ascii="思源宋体 CN" w:hAnsi="思源宋体 CN" w:eastAsia="思源宋体 CN"/>
        </w:rPr>
      </w:pPr>
      <w:bookmarkStart w:id="1" w:name="_Toc346701621"/>
      <w:bookmarkStart w:id="2" w:name="_Toc33041685"/>
      <w:bookmarkStart w:id="3" w:name="_Toc346183639"/>
      <w:bookmarkStart w:id="4" w:name="_Toc404764418"/>
      <w:bookmarkStart w:id="5" w:name="_Toc404243499"/>
      <w:bookmarkStart w:id="6" w:name="_Toc12994"/>
      <w:bookmarkStart w:id="7" w:name="_Toc404765194"/>
      <w:bookmarkStart w:id="8" w:name="_Toc10079"/>
      <w:bookmarkStart w:id="9" w:name="_Toc14242"/>
      <w:bookmarkStart w:id="10" w:name="_Toc59544953"/>
      <w:bookmarkStart w:id="11" w:name="_Toc59612909"/>
      <w:r>
        <w:rPr>
          <w:rFonts w:ascii="思源宋体 CN" w:hAnsi="思源宋体 CN" w:eastAsia="思源宋体 CN"/>
        </w:rPr>
        <w:t>浏览器配置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</w:p>
    <w:p>
      <w:pPr>
        <w:pStyle w:val="4"/>
        <w:widowControl/>
        <w:numPr>
          <w:ilvl w:val="2"/>
          <w:numId w:val="2"/>
        </w:num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12" w:name="_Toc346701622"/>
      <w:bookmarkStart w:id="13" w:name="_Toc59544954"/>
      <w:bookmarkStart w:id="14" w:name="_Toc6683"/>
      <w:bookmarkStart w:id="15" w:name="_Toc33041686"/>
      <w:bookmarkStart w:id="16" w:name="_Toc59612910"/>
      <w:bookmarkStart w:id="17" w:name="_Toc7460"/>
      <w:bookmarkStart w:id="18" w:name="_Toc404764419"/>
      <w:bookmarkStart w:id="19" w:name="_Toc404243500"/>
      <w:bookmarkStart w:id="20" w:name="_Toc346183640"/>
      <w:bookmarkStart w:id="21" w:name="_Toc404765195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Internet选项</w:t>
      </w:r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</w:p>
    <w:p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为了让系统插件能够正常工作，请按照以下步骤进行浏览器的配置。</w:t>
      </w:r>
    </w:p>
    <w:p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1、打开浏览器，在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工具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”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菜单→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“I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nternet选项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”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，如下图：</w:t>
      </w:r>
    </w:p>
    <w:p>
      <w:pPr>
        <w:jc w:val="center"/>
        <w:rPr>
          <w:color w:val="000000" w:themeColor="text1"/>
          <w:spacing w:val="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pacing w:val="4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3562350" cy="3152775"/>
            <wp:effectExtent l="0" t="0" r="6350" b="9525"/>
            <wp:docPr id="63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28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2、弹出对话框之后，请选择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安全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”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选项卡，具体的界面，如下图：</w:t>
      </w:r>
    </w:p>
    <w:p>
      <w:pPr>
        <w:ind w:firstLine="436"/>
        <w:jc w:val="center"/>
        <w:rPr>
          <w:color w:val="000000" w:themeColor="text1"/>
          <w:spacing w:val="4"/>
          <w14:textFill>
            <w14:solidFill>
              <w14:schemeClr w14:val="tx1"/>
            </w14:solidFill>
          </w14:textFill>
        </w:rPr>
        <w:sectPr>
          <w:footerReference r:id="rId7" w:type="first"/>
          <w:headerReference r:id="rId5" w:type="default"/>
          <w:footerReference r:id="rId6" w:type="default"/>
          <w:pgSz w:w="11906" w:h="16838"/>
          <w:pgMar w:top="1440" w:right="1797" w:bottom="1440" w:left="1843" w:header="454" w:footer="680" w:gutter="0"/>
          <w:pgNumType w:start="1"/>
          <w:cols w:space="720" w:num="1"/>
          <w:docGrid w:type="lines" w:linePitch="312" w:charSpace="0"/>
        </w:sectPr>
      </w:pPr>
    </w:p>
    <w:p>
      <w:pPr>
        <w:jc w:val="center"/>
        <w:rPr>
          <w:color w:val="000000" w:themeColor="text1"/>
          <w:spacing w:val="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pacing w:val="4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2914650" cy="3476625"/>
            <wp:effectExtent l="0" t="0" r="6350" b="3175"/>
            <wp:docPr id="47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29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3476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3、点击绿色的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“可信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站点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”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的图片，如下图：</w:t>
      </w:r>
    </w:p>
    <w:p>
      <w:pPr>
        <w:jc w:val="center"/>
        <w:rPr>
          <w:color w:val="000000" w:themeColor="text1"/>
          <w:spacing w:val="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pacing w:val="4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3648075" cy="3895725"/>
            <wp:effectExtent l="0" t="0" r="9525" b="3175"/>
            <wp:docPr id="48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30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3895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4、点击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站点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”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按钮，出现如下对话框，如下图：</w:t>
      </w:r>
    </w:p>
    <w:p>
      <w:pPr>
        <w:jc w:val="center"/>
        <w:rPr>
          <w:color w:val="000000" w:themeColor="text1"/>
          <w:spacing w:val="4"/>
          <w14:textFill>
            <w14:solidFill>
              <w14:schemeClr w14:val="tx1"/>
            </w14:solidFill>
          </w14:textFill>
        </w:rPr>
      </w:pPr>
      <w:r>
        <w:drawing>
          <wp:inline distT="0" distB="0" distL="0" distR="0">
            <wp:extent cx="4602480" cy="4267200"/>
            <wp:effectExtent l="0" t="0" r="7620" b="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02879" cy="4267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思源宋体 CN" w:hAnsi="思源宋体 CN" w:eastAsia="思源宋体 CN"/>
          <w:color w:val="000000" w:themeColor="text1"/>
          <w:spacing w:val="4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点击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添加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”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按钮完成添加，再按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关闭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”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按钮退出</w:t>
      </w:r>
      <w:r>
        <w:rPr>
          <w:rFonts w:ascii="思源宋体 CN" w:hAnsi="思源宋体 CN" w:eastAsia="思源宋体 CN"/>
          <w:color w:val="000000" w:themeColor="text1"/>
          <w:spacing w:val="4"/>
          <w14:textFill>
            <w14:solidFill>
              <w14:schemeClr w14:val="tx1"/>
            </w14:solidFill>
          </w14:textFill>
        </w:rPr>
        <w:t>。</w:t>
      </w:r>
    </w:p>
    <w:p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5、设置自定义安全级别，开放Activex的访问权限，如下图：</w:t>
      </w:r>
    </w:p>
    <w:p>
      <w:pPr>
        <w:jc w:val="center"/>
        <w:rPr>
          <w:color w:val="000000" w:themeColor="text1"/>
          <w:spacing w:val="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pacing w:val="4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3533775" cy="4152900"/>
            <wp:effectExtent l="0" t="0" r="9525" b="0"/>
            <wp:docPr id="71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32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4152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会出现一个窗口，把其中的Activex控件和插件的设置全部改为启用，如下图：</w:t>
      </w:r>
    </w:p>
    <w:p>
      <w:pPr>
        <w:jc w:val="center"/>
        <w:rPr>
          <w:rFonts w:ascii="思源宋体 CN" w:hAnsi="思源宋体 CN" w:eastAsia="思源宋体 CN"/>
          <w:color w:val="000000" w:themeColor="text1"/>
          <w:spacing w:val="4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3486150" cy="3676650"/>
            <wp:effectExtent l="0" t="0" r="6350" b="6350"/>
            <wp:docPr id="72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33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86150" cy="3676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文件下载设置，开放文件下载的权限：设置为启用，如下图：</w:t>
      </w:r>
    </w:p>
    <w:p>
      <w:pPr>
        <w:jc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pacing w:val="4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3524250" cy="3705225"/>
            <wp:effectExtent l="0" t="0" r="6350" b="3175"/>
            <wp:docPr id="50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34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3705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widowControl/>
        <w:numPr>
          <w:ilvl w:val="0"/>
          <w:numId w:val="0"/>
        </w:num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22" w:name="_Toc404765196"/>
      <w:bookmarkStart w:id="23" w:name="_Toc24884"/>
      <w:bookmarkStart w:id="24" w:name="_Toc1298"/>
      <w:bookmarkStart w:id="25" w:name="_Toc404764420"/>
      <w:bookmarkStart w:id="26" w:name="_Toc346701623"/>
      <w:bookmarkStart w:id="27" w:name="_Toc404243501"/>
      <w:bookmarkStart w:id="28" w:name="_Toc346183641"/>
      <w:bookmarkStart w:id="29" w:name="_Toc59544955"/>
      <w:bookmarkStart w:id="30" w:name="_Toc33041687"/>
      <w:bookmarkStart w:id="31" w:name="_Toc59612911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1.1.2、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关闭拦截工具</w:t>
      </w:r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</w:p>
    <w:p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上述操作完成后，如果系统中某些功能仍不能使用，请将拦截工具关闭再试用。比如在windows工具栏中关闭弹出窗口阻止程序的操作，如下图：</w:t>
      </w:r>
    </w:p>
    <w:p>
      <w:pPr>
        <w:pStyle w:val="27"/>
        <w:ind w:firstLine="480" w:firstLineChars="200"/>
        <w:jc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095875" cy="2324100"/>
            <wp:effectExtent l="0" t="0" r="9525" b="0"/>
            <wp:docPr id="64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35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0"/>
          <w:numId w:val="0"/>
        </w:numPr>
        <w:rPr>
          <w:rFonts w:ascii="思源宋体 CN" w:hAnsi="思源宋体 CN" w:eastAsia="思源宋体 CN"/>
        </w:rPr>
      </w:pPr>
      <w:bookmarkStart w:id="32" w:name="_Toc7514"/>
      <w:bookmarkStart w:id="33" w:name="_Toc59544956"/>
      <w:bookmarkStart w:id="34" w:name="_Toc59612912"/>
      <w:bookmarkStart w:id="35" w:name="_Toc26360592"/>
      <w:bookmarkStart w:id="36" w:name="_Toc33041688"/>
      <w:bookmarkStart w:id="37" w:name="_Toc16790"/>
      <w:r>
        <w:rPr>
          <w:rFonts w:hint="eastAsia" w:ascii="思源宋体 CN" w:hAnsi="思源宋体 CN" w:eastAsia="思源宋体 CN"/>
        </w:rPr>
        <w:t>1.1.3、兼容性视图设置</w:t>
      </w:r>
      <w:bookmarkEnd w:id="32"/>
      <w:bookmarkEnd w:id="33"/>
      <w:bookmarkEnd w:id="34"/>
      <w:bookmarkEnd w:id="35"/>
      <w:bookmarkEnd w:id="36"/>
      <w:bookmarkEnd w:id="37"/>
    </w:p>
    <w:p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</w:rPr>
        <w:t>打开“工具”菜单</w:t>
      </w:r>
      <w:r>
        <w:rPr>
          <w:rFonts w:ascii="思源宋体 CN" w:hAnsi="思源宋体 CN" w:eastAsia="思源宋体 CN"/>
        </w:rPr>
        <w:sym w:font="Wingdings" w:char="F0E0"/>
      </w:r>
      <w:r>
        <w:rPr>
          <w:rFonts w:hint="eastAsia" w:ascii="思源宋体 CN" w:hAnsi="思源宋体 CN" w:eastAsia="思源宋体 CN"/>
        </w:rPr>
        <w:t>“兼容性视图设置”，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点击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添加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”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按钮完成添加，再按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关闭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”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按钮退出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。</w:t>
      </w:r>
    </w:p>
    <w:p>
      <w:pPr>
        <w:jc w:val="center"/>
        <w:rPr>
          <w:rFonts w:asciiTheme="minorEastAsia" w:hAnsiTheme="minorEastAsia" w:eastAsiaTheme="minorEastAsia"/>
          <w:color w:val="000000" w:themeColor="text1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3022600" cy="3111500"/>
            <wp:effectExtent l="0" t="0" r="0" b="0"/>
            <wp:docPr id="7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4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2600" cy="311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jc w:val="center"/>
      </w:pPr>
      <w:r>
        <w:drawing>
          <wp:inline distT="0" distB="0" distL="114300" distR="114300">
            <wp:extent cx="4413250" cy="5340350"/>
            <wp:effectExtent l="0" t="0" r="6350" b="6350"/>
            <wp:docPr id="1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3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13250" cy="534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38" w:name="_Toc59544957"/>
      <w:bookmarkStart w:id="39" w:name="_Toc28781"/>
      <w:bookmarkStart w:id="40" w:name="_Toc21614"/>
      <w:bookmarkStart w:id="41" w:name="_Toc59612913"/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投标人</w:t>
      </w:r>
      <w:bookmarkEnd w:id="38"/>
      <w:bookmarkEnd w:id="39"/>
      <w:bookmarkEnd w:id="40"/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登录</w:t>
      </w:r>
      <w:bookmarkEnd w:id="41"/>
    </w:p>
    <w:p>
      <w:pPr>
        <w:pStyle w:val="3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42" w:name="_Toc8248"/>
      <w:bookmarkStart w:id="43" w:name="_Toc1197"/>
      <w:bookmarkStart w:id="44" w:name="_Toc19742"/>
      <w:bookmarkStart w:id="45" w:name="_Toc59612914"/>
      <w:bookmarkStart w:id="46" w:name="_Toc13642"/>
      <w:bookmarkStart w:id="47" w:name="_Toc59544958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系统</w:t>
      </w:r>
      <w:bookmarkEnd w:id="42"/>
      <w:bookmarkEnd w:id="43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登录</w:t>
      </w:r>
      <w:bookmarkEnd w:id="44"/>
      <w:bookmarkEnd w:id="45"/>
      <w:bookmarkEnd w:id="46"/>
      <w:bookmarkEnd w:id="47"/>
    </w:p>
    <w:p>
      <w:pPr>
        <w:numPr>
          <w:ilvl w:val="0"/>
          <w:numId w:val="3"/>
        </w:numPr>
        <w:rPr>
          <w:rFonts w:ascii="思源宋体 CN" w:hAnsi="思源宋体 CN" w:eastAsia="思源宋体 CN"/>
        </w:rPr>
      </w:pPr>
      <w:r>
        <w:rPr>
          <w:rFonts w:hint="eastAsia" w:ascii="思源宋体 CN" w:hAnsi="思源宋体 CN" w:eastAsia="思源宋体 CN"/>
        </w:rPr>
        <w:t>打开</w:t>
      </w:r>
      <w:r>
        <w:rPr>
          <w:rFonts w:hint="eastAsia" w:ascii="思源宋体 CN" w:hAnsi="思源宋体 CN" w:eastAsia="思源宋体 CN"/>
          <w:lang w:val="en-US" w:eastAsia="zh-CN"/>
        </w:rPr>
        <w:t>泰州市公共资源非依法必招项目招投标系统--会员端</w:t>
      </w:r>
      <w:r>
        <w:rPr>
          <w:rFonts w:hint="eastAsia" w:ascii="思源宋体 CN" w:hAnsi="思源宋体 CN" w:eastAsia="思源宋体 CN"/>
        </w:rPr>
        <w:t>，如下图：</w:t>
      </w:r>
    </w:p>
    <w:p>
      <w:pPr>
        <w:ind w:firstLine="0" w:firstLineChars="0"/>
        <w:rPr>
          <w:rFonts w:hint="eastAsia"/>
          <w:spacing w:val="4"/>
          <w:lang w:val="en-US" w:eastAsia="zh-CN"/>
        </w:rPr>
      </w:pPr>
      <w:r>
        <w:rPr>
          <w:rFonts w:hint="eastAsia"/>
          <w:spacing w:val="4"/>
          <w:lang w:val="en-US" w:eastAsia="zh-CN"/>
        </w:rPr>
        <w:fldChar w:fldCharType="begin"/>
      </w:r>
      <w:r>
        <w:rPr>
          <w:rFonts w:hint="eastAsia"/>
          <w:spacing w:val="4"/>
          <w:lang w:val="en-US" w:eastAsia="zh-CN"/>
        </w:rPr>
        <w:instrText xml:space="preserve"> HYPERLINK "http://223.108.59.63:8090/TPBidder" </w:instrText>
      </w:r>
      <w:r>
        <w:rPr>
          <w:rFonts w:hint="eastAsia"/>
          <w:spacing w:val="4"/>
          <w:lang w:val="en-US" w:eastAsia="zh-CN"/>
        </w:rPr>
        <w:fldChar w:fldCharType="separate"/>
      </w:r>
      <w:r>
        <w:rPr>
          <w:rStyle w:val="21"/>
          <w:rFonts w:hint="eastAsia"/>
          <w:spacing w:val="4"/>
          <w:lang w:val="en-US" w:eastAsia="zh-CN"/>
        </w:rPr>
        <w:t>http://223.108.59.63:8090/TPBidder</w:t>
      </w:r>
      <w:r>
        <w:rPr>
          <w:rFonts w:hint="eastAsia"/>
          <w:spacing w:val="4"/>
          <w:lang w:val="en-US" w:eastAsia="zh-CN"/>
        </w:rPr>
        <w:fldChar w:fldCharType="end"/>
      </w:r>
    </w:p>
    <w:p>
      <w:pPr>
        <w:ind w:firstLine="0" w:firstLineChars="0"/>
        <w:rPr>
          <w:rFonts w:hint="eastAsia"/>
          <w:spacing w:val="4"/>
          <w:lang w:val="en-US" w:eastAsia="zh-CN"/>
        </w:rPr>
      </w:pPr>
      <w:r>
        <w:drawing>
          <wp:inline distT="0" distB="0" distL="114300" distR="114300">
            <wp:extent cx="5243830" cy="2379980"/>
            <wp:effectExtent l="0" t="0" r="13970" b="1270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43830" cy="2379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rPr>
          <w:rFonts w:ascii="思源宋体 CN" w:hAnsi="思源宋体 CN" w:eastAsia="思源宋体 CN"/>
        </w:rPr>
      </w:pPr>
      <w:r>
        <w:rPr>
          <w:rFonts w:hint="eastAsia" w:ascii="思源宋体 CN" w:hAnsi="思源宋体 CN" w:eastAsia="思源宋体 CN"/>
        </w:rPr>
        <w:t>登录方式</w:t>
      </w:r>
      <w:r>
        <w:rPr>
          <w:rFonts w:hint="eastAsia" w:ascii="思源宋体 CN" w:hAnsi="思源宋体 CN" w:eastAsia="思源宋体 CN"/>
          <w:lang w:eastAsia="zh-CN"/>
        </w:rPr>
        <w:t>：</w:t>
      </w:r>
    </w:p>
    <w:p>
      <w:pPr>
        <w:ind w:firstLine="0" w:firstLineChars="0"/>
      </w:pPr>
    </w:p>
    <w:p>
      <w:pPr>
        <w:rPr>
          <w:rFonts w:hint="eastAsia" w:ascii="思源宋体 CN" w:hAnsi="思源宋体 CN" w:eastAsia="思源宋体 CN"/>
        </w:rPr>
      </w:pPr>
      <w:r>
        <w:rPr>
          <w:rFonts w:hint="eastAsia" w:ascii="思源宋体 CN" w:hAnsi="思源宋体 CN" w:eastAsia="思源宋体 CN"/>
        </w:rPr>
        <w:t>CA登录：插入CA锁，输入密码登录。如下图：</w:t>
      </w:r>
    </w:p>
    <w:p>
      <w:pPr>
        <w:rPr>
          <w:rFonts w:hint="eastAsia" w:ascii="思源宋体 CN" w:hAnsi="思源宋体 CN" w:eastAsia="思源宋体 CN"/>
        </w:rPr>
      </w:pPr>
      <w:r>
        <w:drawing>
          <wp:inline distT="0" distB="0" distL="114300" distR="114300">
            <wp:extent cx="5237480" cy="2348865"/>
            <wp:effectExtent l="0" t="0" r="5080" b="1333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37480" cy="234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ascii="思源宋体 CN" w:hAnsi="思源宋体 CN" w:eastAsia="思源宋体 CN"/>
          <w:lang w:val="en-US" w:eastAsia="zh-CN"/>
        </w:rPr>
      </w:pPr>
      <w:r>
        <w:rPr>
          <w:rFonts w:hint="eastAsia" w:ascii="思源宋体 CN" w:hAnsi="思源宋体 CN" w:eastAsia="思源宋体 CN"/>
        </w:rPr>
        <w:t>3、登录交易平台</w:t>
      </w:r>
      <w:r>
        <w:rPr>
          <w:rFonts w:hint="eastAsia" w:ascii="思源宋体 CN" w:hAnsi="思源宋体 CN" w:eastAsia="思源宋体 CN"/>
          <w:lang w:val="en-US" w:eastAsia="zh-CN"/>
        </w:rPr>
        <w:t>后，如下图：</w:t>
      </w:r>
    </w:p>
    <w:p>
      <w:pPr>
        <w:ind w:firstLine="0" w:firstLineChars="0"/>
      </w:pPr>
      <w:r>
        <w:drawing>
          <wp:inline distT="0" distB="0" distL="114300" distR="114300">
            <wp:extent cx="5237480" cy="2353945"/>
            <wp:effectExtent l="0" t="0" r="5080" b="8255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37480" cy="2353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</w:p>
    <w:p>
      <w:pPr>
        <w:pStyle w:val="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48" w:name="_Toc27298"/>
      <w:bookmarkStart w:id="49" w:name="_Toc19748"/>
      <w:bookmarkStart w:id="50" w:name="_Toc59544959"/>
      <w:bookmarkStart w:id="51" w:name="_Toc59612915"/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业务</w:t>
      </w:r>
      <w:bookmarkEnd w:id="48"/>
      <w:bookmarkEnd w:id="49"/>
      <w:bookmarkEnd w:id="50"/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报名</w:t>
      </w:r>
      <w:bookmarkEnd w:id="51"/>
    </w:p>
    <w:p>
      <w:pPr>
        <w:pStyle w:val="3"/>
        <w:rPr>
          <w:rFonts w:hint="eastAsia" w:ascii="思源宋体 CN" w:hAnsi="思源宋体 CN" w:eastAsia="思源宋体 CN"/>
        </w:rPr>
      </w:pPr>
      <w:bookmarkStart w:id="52" w:name="_Toc59612918"/>
      <w:bookmarkStart w:id="53" w:name="_Toc59544962"/>
      <w:bookmarkStart w:id="54" w:name="_Toc25415"/>
      <w:r>
        <w:rPr>
          <w:rFonts w:hint="eastAsia" w:ascii="思源宋体 CN" w:hAnsi="思源宋体 CN" w:eastAsia="思源宋体 CN"/>
        </w:rPr>
        <w:t>查看公告详情</w:t>
      </w:r>
      <w:bookmarkEnd w:id="52"/>
      <w:bookmarkEnd w:id="53"/>
      <w:bookmarkEnd w:id="54"/>
    </w:p>
    <w:p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前置条件：</w:t>
      </w:r>
      <w:r>
        <w:rPr>
          <w:rFonts w:hint="eastAsia" w:ascii="思源宋体 CN" w:hAnsi="思源宋体 CN" w:eastAsia="思源宋体 CN" w:cstheme="minorEastAsia"/>
          <w:color w:val="000000" w:themeColor="text1"/>
          <w14:textFill>
            <w14:solidFill>
              <w14:schemeClr w14:val="tx1"/>
            </w14:solidFill>
          </w14:textFill>
        </w:rPr>
        <w:t>招标文件、招标公告都已审核通过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。</w:t>
      </w:r>
    </w:p>
    <w:p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查看对应的公告详情。</w:t>
      </w:r>
    </w:p>
    <w:p>
      <w:pPr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1、点击“招标公告”菜单，进入公告信息列表，如下图：</w:t>
      </w:r>
    </w:p>
    <w:p>
      <w:pPr>
        <w:ind w:firstLine="0" w:firstLineChars="0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5237480" cy="2359660"/>
            <wp:effectExtent l="0" t="0" r="5080" b="254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37480" cy="235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6"/>
        <w:numPr>
          <w:ilvl w:val="0"/>
          <w:numId w:val="4"/>
        </w:numPr>
        <w:ind w:firstLineChars="0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招标公告列表页面，点击“公告详情”按钮，进入公告详情页面，如下图：</w:t>
      </w:r>
    </w:p>
    <w:p>
      <w:pPr>
        <w:ind w:firstLine="0" w:firstLineChars="0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5237480" cy="1530350"/>
            <wp:effectExtent l="0" t="0" r="5080" b="8890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37480" cy="153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81" w:name="_GoBack"/>
      <w:bookmarkEnd w:id="81"/>
    </w:p>
    <w:p>
      <w:pPr>
        <w:ind w:firstLine="0" w:firstLineChars="0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3"/>
        <w:rPr>
          <w:rFonts w:ascii="思源宋体 CN" w:hAnsi="思源宋体 CN" w:eastAsia="思源宋体 CN"/>
        </w:rPr>
      </w:pPr>
      <w:bookmarkStart w:id="55" w:name="_Toc13876"/>
      <w:bookmarkStart w:id="56" w:name="_Toc59544963"/>
      <w:bookmarkStart w:id="57" w:name="_Toc368"/>
      <w:bookmarkStart w:id="58" w:name="_Toc59612919"/>
      <w:r>
        <w:rPr>
          <w:rFonts w:hint="eastAsia" w:ascii="思源宋体 CN" w:hAnsi="思源宋体 CN" w:eastAsia="思源宋体 CN"/>
        </w:rPr>
        <w:t>我的项目</w:t>
      </w:r>
      <w:bookmarkEnd w:id="55"/>
      <w:bookmarkEnd w:id="56"/>
      <w:bookmarkEnd w:id="57"/>
      <w:bookmarkEnd w:id="58"/>
    </w:p>
    <w:p>
      <w:pPr>
        <w:pStyle w:val="4"/>
        <w:numPr>
          <w:ilvl w:val="0"/>
          <w:numId w:val="0"/>
        </w:numPr>
        <w:rPr>
          <w:rFonts w:ascii="思源宋体 CN" w:hAnsi="思源宋体 CN" w:eastAsia="思源宋体 CN"/>
        </w:rPr>
      </w:pPr>
      <w:bookmarkStart w:id="59" w:name="_Toc59612920"/>
      <w:bookmarkStart w:id="60" w:name="_Toc16369"/>
      <w:bookmarkStart w:id="61" w:name="_Toc59544964"/>
      <w:r>
        <w:rPr>
          <w:rFonts w:hint="eastAsia" w:ascii="思源宋体 CN" w:hAnsi="思源宋体 CN" w:eastAsia="思源宋体 CN"/>
        </w:rPr>
        <w:t>3.2.1、招标文件领取</w:t>
      </w:r>
      <w:bookmarkEnd w:id="59"/>
      <w:bookmarkEnd w:id="60"/>
      <w:bookmarkEnd w:id="61"/>
    </w:p>
    <w:p>
      <w:pPr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前置条件：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招标</w:t>
      </w:r>
      <w:r>
        <w:rPr>
          <w:rFonts w:ascii="思源宋体 CN" w:hAnsi="思源宋体 CN" w:eastAsia="思源宋体 CN"/>
          <w:color w:val="000000" w:themeColor="text1"/>
          <w:szCs w:val="21"/>
          <w14:textFill>
            <w14:solidFill>
              <w14:schemeClr w14:val="tx1"/>
            </w14:solidFill>
          </w14:textFill>
        </w:rPr>
        <w:t>文件审核</w:t>
      </w:r>
      <w:r>
        <w:rPr>
          <w:rFonts w:hint="eastAsia" w:ascii="思源宋体 CN" w:hAnsi="思源宋体 CN" w:eastAsia="思源宋体 CN"/>
          <w:color w:val="000000" w:themeColor="text1"/>
          <w:szCs w:val="21"/>
          <w14:textFill>
            <w14:solidFill>
              <w14:schemeClr w14:val="tx1"/>
            </w14:solidFill>
          </w14:textFill>
        </w:rPr>
        <w:t>通过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。</w:t>
      </w:r>
    </w:p>
    <w:p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投标人领取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招标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文件。</w:t>
      </w:r>
    </w:p>
    <w:p>
      <w:pPr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1、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点击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“我的项目-项目流程”按钮，进入项目流程页面，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如下图：</w:t>
      </w:r>
      <w:r>
        <w:drawing>
          <wp:inline distT="0" distB="0" distL="114300" distR="114300">
            <wp:extent cx="5248910" cy="1929765"/>
            <wp:effectExtent l="0" t="0" r="8890" b="13335"/>
            <wp:docPr id="3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1929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2、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项目流程页面，点击“招标文件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领取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”选项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进入“招标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文件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下载”页面，如下图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：</w:t>
      </w:r>
    </w:p>
    <w:p>
      <w:pPr>
        <w:ind w:firstLine="0" w:firstLineChars="0"/>
        <w:rPr>
          <w:rFonts w:ascii="思源宋体 CN" w:hAnsi="思源宋体 CN" w:eastAsia="思源宋体 CN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5237480" cy="1985010"/>
            <wp:effectExtent l="0" t="0" r="1270" b="15240"/>
            <wp:docPr id="3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37480" cy="1985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思源宋体 CN" w:hAnsi="思源宋体 CN" w:eastAsia="思源宋体 CN"/>
        </w:rPr>
        <w:t xml:space="preserve"> </w:t>
      </w:r>
      <w:r>
        <w:drawing>
          <wp:inline distT="0" distB="0" distL="114300" distR="114300">
            <wp:extent cx="5237480" cy="2339975"/>
            <wp:effectExtent l="0" t="0" r="1270" b="3175"/>
            <wp:docPr id="3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37480" cy="233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思源宋体 CN" w:hAnsi="思源宋体 CN" w:eastAsia="思源宋体 CN"/>
        </w:rPr>
      </w:pPr>
      <w:r>
        <w:rPr>
          <w:rFonts w:hint="eastAsia" w:ascii="思源宋体 CN" w:hAnsi="思源宋体 CN" w:eastAsia="思源宋体 CN"/>
        </w:rPr>
        <w:t>3、招标文件</w:t>
      </w:r>
      <w:r>
        <w:rPr>
          <w:rFonts w:ascii="思源宋体 CN" w:hAnsi="思源宋体 CN" w:eastAsia="思源宋体 CN"/>
        </w:rPr>
        <w:t>下载</w:t>
      </w:r>
      <w:r>
        <w:rPr>
          <w:rFonts w:hint="eastAsia" w:ascii="思源宋体 CN" w:hAnsi="思源宋体 CN" w:eastAsia="思源宋体 CN"/>
        </w:rPr>
        <w:t>页面，点击“下载招标文件”选项，进入文件列表，点击附件后的下载按钮，即可下载。如下图：</w:t>
      </w:r>
    </w:p>
    <w:p>
      <w:pPr>
        <w:ind w:firstLine="0" w:firstLineChars="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5238750" cy="2318385"/>
            <wp:effectExtent l="0" t="0" r="0" b="5715"/>
            <wp:docPr id="1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3183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0"/>
          <w:numId w:val="0"/>
        </w:num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62" w:name="_Toc59612921"/>
      <w:bookmarkStart w:id="63" w:name="_Toc30431"/>
      <w:bookmarkStart w:id="64" w:name="_Toc59544965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3.2.2、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答疑澄清文件领取</w:t>
      </w:r>
      <w:bookmarkEnd w:id="62"/>
      <w:bookmarkEnd w:id="63"/>
      <w:bookmarkEnd w:id="64"/>
    </w:p>
    <w:p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b/>
          <w:color w:val="000000" w:themeColor="text1"/>
          <w14:textFill>
            <w14:solidFill>
              <w14:schemeClr w14:val="tx1"/>
            </w14:solidFill>
          </w14:textFill>
        </w:rPr>
        <w:t>前置条件：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答疑澄清文件审核通过且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投标人已经下载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过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招标文件。</w:t>
      </w:r>
    </w:p>
    <w:p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ascii="思源宋体 CN" w:hAnsi="思源宋体 CN" w:eastAsia="思源宋体 CN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投标人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领取答疑澄清文件。</w:t>
      </w:r>
    </w:p>
    <w:p>
      <w:pPr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1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项目流程页面，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点击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“答疑澄清文件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领取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”菜单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，进入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答疑澄清文件下载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”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页面，如下图：</w:t>
      </w:r>
      <w:r>
        <w:drawing>
          <wp:inline distT="0" distB="0" distL="114300" distR="114300">
            <wp:extent cx="5237480" cy="1995805"/>
            <wp:effectExtent l="0" t="0" r="1270" b="4445"/>
            <wp:docPr id="3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0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37480" cy="1995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思源宋体 CN" w:hAnsi="思源宋体 CN" w:eastAsia="思源宋体 CN"/>
        </w:rPr>
        <w:t xml:space="preserve"> </w:t>
      </w:r>
      <w:r>
        <w:drawing>
          <wp:inline distT="0" distB="0" distL="0" distR="0">
            <wp:extent cx="5248910" cy="2221230"/>
            <wp:effectExtent l="0" t="0" r="0" b="7620"/>
            <wp:docPr id="257" name="图片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" name="图片 257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221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 w:firstLine="0" w:firstLineChars="0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2、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点击下载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可下载对应的答疑澄清文件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。</w:t>
      </w:r>
    </w:p>
    <w:p>
      <w:pPr>
        <w:ind w:firstLine="0" w:firstLineChars="0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4"/>
        <w:numPr>
          <w:ilvl w:val="0"/>
          <w:numId w:val="0"/>
        </w:num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65" w:name="_Toc59612922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3.2.3、控制价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文件领取</w:t>
      </w:r>
      <w:bookmarkEnd w:id="65"/>
    </w:p>
    <w:p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b/>
          <w:color w:val="000000" w:themeColor="text1"/>
          <w14:textFill>
            <w14:solidFill>
              <w14:schemeClr w14:val="tx1"/>
            </w14:solidFill>
          </w14:textFill>
        </w:rPr>
        <w:t>前置条件：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控制价文件审核通过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。</w:t>
      </w:r>
    </w:p>
    <w:p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ascii="思源宋体 CN" w:hAnsi="思源宋体 CN" w:eastAsia="思源宋体 CN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领取控制价文件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。</w:t>
      </w:r>
    </w:p>
    <w:p>
      <w:pPr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1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项目流程页面，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点击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“控制价文件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领取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”菜单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，进入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“控制价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文件下载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”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页面，如下图：</w:t>
      </w:r>
      <w:r>
        <w:drawing>
          <wp:inline distT="0" distB="0" distL="114300" distR="114300">
            <wp:extent cx="5243195" cy="2348230"/>
            <wp:effectExtent l="0" t="0" r="14605" b="13970"/>
            <wp:docPr id="3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43195" cy="234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5248910" cy="1489710"/>
            <wp:effectExtent l="0" t="0" r="8890" b="15240"/>
            <wp:docPr id="4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148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2、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点击下载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可下载对应的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控制价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文件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。</w:t>
      </w:r>
    </w:p>
    <w:p>
      <w:pPr>
        <w:pStyle w:val="4"/>
        <w:numPr>
          <w:ilvl w:val="0"/>
          <w:numId w:val="0"/>
        </w:numP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66" w:name="_Toc59612924"/>
      <w:bookmarkStart w:id="67" w:name="_Toc59544967"/>
      <w:bookmarkStart w:id="68" w:name="_Toc5773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3.2.5、上传投标文件</w:t>
      </w:r>
      <w:bookmarkEnd w:id="66"/>
      <w:bookmarkEnd w:id="67"/>
      <w:bookmarkEnd w:id="68"/>
    </w:p>
    <w:p>
      <w:pPr>
        <w:rPr>
          <w:rFonts w:hint="eastAsia" w:ascii="思源宋体 CN" w:hAnsi="思源宋体 CN" w:eastAsia="思源宋体 CN"/>
          <w:color w:val="FF0000"/>
          <w:lang w:val="en-US" w:eastAsia="zh-CN"/>
        </w:rPr>
      </w:pPr>
      <w:r>
        <w:rPr>
          <w:rFonts w:hint="eastAsia" w:ascii="思源宋体 CN" w:hAnsi="思源宋体 CN" w:eastAsia="思源宋体 CN"/>
          <w:color w:val="FF0000"/>
          <w:lang w:val="en-US" w:eastAsia="zh-CN"/>
        </w:rPr>
        <w:t>注：投标文件在投标文件制作工具中制作、生成、上传（撤销）</w:t>
      </w:r>
    </w:p>
    <w:p>
      <w:pPr>
        <w:rPr>
          <w:rFonts w:hint="default" w:ascii="思源宋体 CN" w:hAnsi="思源宋体 CN" w:eastAsia="思源宋体 CN"/>
          <w:color w:val="FF0000"/>
          <w:lang w:val="en-US" w:eastAsia="zh-CN"/>
        </w:rPr>
      </w:pPr>
      <w:r>
        <w:rPr>
          <w:rFonts w:hint="eastAsia" w:ascii="思源宋体 CN" w:hAnsi="思源宋体 CN" w:eastAsia="思源宋体 CN"/>
          <w:color w:val="FF0000"/>
          <w:lang w:val="en-US" w:eastAsia="zh-CN"/>
        </w:rPr>
        <w:t>制作投标文件请查看《投标文件制作手册》</w:t>
      </w:r>
    </w:p>
    <w:p>
      <w:pPr>
        <w:pStyle w:val="4"/>
        <w:numPr>
          <w:ilvl w:val="0"/>
          <w:numId w:val="0"/>
        </w:num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69" w:name="_Toc59612928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3.2.</w:t>
      </w:r>
      <w:r>
        <w:rPr>
          <w:rFonts w:hint="eastAsia" w:ascii="思源宋体 CN" w:hAnsi="思源宋体 CN" w:eastAsia="思源宋体 CN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6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、开标记录表</w:t>
      </w:r>
      <w:bookmarkEnd w:id="69"/>
    </w:p>
    <w:p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前提条件：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网招标段且开标已结束</w:t>
      </w:r>
    </w:p>
    <w:p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hint="eastAsia" w:ascii="思源宋体 CN" w:hAnsi="思源宋体 CN" w:eastAsia="思源宋体 CN"/>
          <w:bCs/>
          <w:color w:val="000000" w:themeColor="text1"/>
          <w14:textFill>
            <w14:solidFill>
              <w14:schemeClr w14:val="tx1"/>
            </w14:solidFill>
          </w14:textFill>
        </w:rPr>
        <w:t>查看单位数据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。</w:t>
      </w:r>
    </w:p>
    <w:p>
      <w:pPr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1、项目流程页面，点击“开标记录表”菜单，进入开标记录表页面，如下图：</w:t>
      </w:r>
    </w:p>
    <w:p>
      <w:r>
        <w:drawing>
          <wp:inline distT="0" distB="0" distL="114300" distR="114300">
            <wp:extent cx="5248910" cy="2164080"/>
            <wp:effectExtent l="0" t="0" r="8890" b="7620"/>
            <wp:docPr id="4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16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0"/>
          <w:numId w:val="0"/>
        </w:numPr>
        <w:rPr>
          <w:rFonts w:hint="eastAsia" w:ascii="思源宋体 CN" w:hAnsi="思源宋体 CN" w:eastAsia="思源宋体 CN"/>
          <w:color w:val="000000" w:themeColor="text1"/>
          <w:lang w:eastAsia="zh-CN"/>
          <w14:textFill>
            <w14:solidFill>
              <w14:schemeClr w14:val="tx1"/>
            </w14:solidFill>
          </w14:textFill>
        </w:rPr>
      </w:pPr>
      <w:bookmarkStart w:id="70" w:name="_Toc59612929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3.2.</w:t>
      </w:r>
      <w:r>
        <w:rPr>
          <w:rFonts w:hint="eastAsia" w:ascii="思源宋体 CN" w:hAnsi="思源宋体 CN" w:eastAsia="思源宋体 CN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7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、中标通知书</w:t>
      </w:r>
      <w:bookmarkEnd w:id="70"/>
      <w:r>
        <w:rPr>
          <w:rFonts w:hint="eastAsia" w:ascii="思源宋体 CN" w:hAnsi="思源宋体 CN" w:eastAsia="思源宋体 CN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思源宋体 CN" w:hAnsi="思源宋体 CN" w:eastAsia="思源宋体 CN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线下打印</w:t>
      </w:r>
      <w:r>
        <w:rPr>
          <w:rFonts w:hint="eastAsia" w:ascii="思源宋体 CN" w:hAnsi="思源宋体 CN" w:eastAsia="思源宋体 CN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）</w:t>
      </w:r>
    </w:p>
    <w:p>
      <w:pPr>
        <w:pStyle w:val="4"/>
        <w:numPr>
          <w:ilvl w:val="0"/>
          <w:numId w:val="0"/>
        </w:num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71" w:name="_Toc59612931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3.2.</w:t>
      </w:r>
      <w:r>
        <w:rPr>
          <w:rFonts w:hint="eastAsia" w:ascii="思源宋体 CN" w:hAnsi="思源宋体 CN" w:eastAsia="思源宋体 CN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8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、销号停工申请</w:t>
      </w:r>
      <w:bookmarkEnd w:id="71"/>
    </w:p>
    <w:p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前提条件：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中标结果公告审核通过。</w:t>
      </w:r>
    </w:p>
    <w:p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hint="eastAsia" w:ascii="思源宋体 CN" w:hAnsi="思源宋体 CN" w:eastAsia="思源宋体 CN"/>
          <w:bCs/>
          <w:color w:val="000000" w:themeColor="text1"/>
          <w14:textFill>
            <w14:solidFill>
              <w14:schemeClr w14:val="tx1"/>
            </w14:solidFill>
          </w14:textFill>
        </w:rPr>
        <w:t>对已发布中标结果公告的项目进行销号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。</w:t>
      </w:r>
    </w:p>
    <w:p>
      <w:pPr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>
      <w:pPr>
        <w:numPr>
          <w:ilvl w:val="0"/>
          <w:numId w:val="5"/>
        </w:numP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项目流程页面，点击“销号停工申请”菜单，进入销号申请新增页面，如下图：</w:t>
      </w:r>
    </w:p>
    <w:p>
      <w:pPr>
        <w:numPr>
          <w:ilvl w:val="0"/>
          <w:numId w:val="0"/>
        </w:numP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5238750" cy="2056130"/>
            <wp:effectExtent l="0" t="0" r="0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056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ind w:left="420" w:leftChars="200" w:firstLine="0" w:firstLineChars="0"/>
      </w:pPr>
      <w:r>
        <w:drawing>
          <wp:inline distT="0" distB="0" distL="114300" distR="114300">
            <wp:extent cx="5241290" cy="2275205"/>
            <wp:effectExtent l="0" t="0" r="16510" b="1079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41290" cy="227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思源宋体 CN" w:hAnsi="思源宋体 CN" w:eastAsia="思源宋体 CN" w:cs="宋体"/>
          <w:lang w:bidi="ar"/>
        </w:rPr>
      </w:pPr>
      <w:r>
        <w:rPr>
          <w:rFonts w:hint="eastAsia" w:ascii="思源宋体 CN" w:hAnsi="思源宋体 CN" w:eastAsia="思源宋体 CN" w:cs="宋体"/>
          <w:lang w:bidi="ar"/>
        </w:rPr>
        <w:t>2、填写页面上的信息。点击“附件信息”按钮，进入“附件信息”页面上传相应附件。如下图：</w:t>
      </w:r>
    </w:p>
    <w:p>
      <w:pPr>
        <w:rPr>
          <w:rFonts w:ascii="思源宋体 CN" w:hAnsi="思源宋体 CN" w:eastAsia="思源宋体 CN" w:cs="宋体"/>
          <w:lang w:bidi="ar"/>
        </w:rPr>
      </w:pPr>
      <w:r>
        <w:drawing>
          <wp:inline distT="0" distB="0" distL="114300" distR="114300">
            <wp:extent cx="5233035" cy="716280"/>
            <wp:effectExtent l="0" t="0" r="5715" b="762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33035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240" w:lineRule="auto"/>
        <w:ind w:firstLineChars="0"/>
        <w:rPr>
          <w:rFonts w:ascii="思源宋体 CN" w:hAnsi="思源宋体 CN" w:eastAsia="思源宋体 CN" w:cs="宋体"/>
          <w:lang w:bidi="ar"/>
        </w:rPr>
      </w:pPr>
      <w:r>
        <w:rPr>
          <w:rFonts w:hint="eastAsia" w:ascii="思源宋体 CN" w:hAnsi="思源宋体 CN" w:eastAsia="思源宋体 CN" w:cs="宋体"/>
          <w:lang w:bidi="ar"/>
        </w:rPr>
        <w:t>3、点击“提交信息”按钮，待办提交至招标办备案，招标办对应人员审核完成后，显示状态为“审核通过”状态。</w:t>
      </w:r>
    </w:p>
    <w:p>
      <w:pPr>
        <w:widowControl/>
        <w:spacing w:line="240" w:lineRule="auto"/>
        <w:ind w:firstLineChars="0"/>
        <w:rPr>
          <w:rFonts w:ascii="思源宋体 CN" w:hAnsi="思源宋体 CN" w:eastAsia="思源宋体 CN" w:cs="宋体"/>
          <w:color w:val="FF0000"/>
          <w:lang w:bidi="ar"/>
        </w:rPr>
      </w:pPr>
      <w:r>
        <w:rPr>
          <w:rFonts w:hint="eastAsia" w:ascii="思源宋体 CN" w:hAnsi="思源宋体 CN" w:eastAsia="思源宋体 CN" w:cs="宋体"/>
          <w:color w:val="FF0000"/>
          <w:lang w:bidi="ar"/>
        </w:rPr>
        <w:t>注：</w:t>
      </w:r>
    </w:p>
    <w:p>
      <w:pPr>
        <w:widowControl/>
        <w:spacing w:line="240" w:lineRule="auto"/>
        <w:ind w:firstLineChars="0"/>
        <w:rPr>
          <w:rFonts w:ascii="思源宋体 CN" w:hAnsi="思源宋体 CN" w:eastAsia="思源宋体 CN" w:cs="宋体"/>
          <w:color w:val="FF0000"/>
          <w:lang w:bidi="ar"/>
        </w:rPr>
      </w:pPr>
      <w:r>
        <w:rPr>
          <w:rFonts w:hint="eastAsia" w:ascii="思源宋体 CN" w:hAnsi="思源宋体 CN" w:eastAsia="思源宋体 CN" w:cs="宋体"/>
          <w:color w:val="FF0000"/>
          <w:lang w:bidi="ar"/>
        </w:rPr>
        <w:t>销号停工申请审核通过后，对应单位的项目经理会自动释放，无在建工程显示。</w:t>
      </w:r>
    </w:p>
    <w:p>
      <w:pPr>
        <w:pStyle w:val="4"/>
        <w:numPr>
          <w:ilvl w:val="0"/>
          <w:numId w:val="0"/>
        </w:num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72" w:name="_Toc59612932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3.2.</w:t>
      </w:r>
      <w:r>
        <w:rPr>
          <w:rFonts w:hint="eastAsia" w:ascii="思源宋体 CN" w:hAnsi="思源宋体 CN" w:eastAsia="思源宋体 CN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9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、提问</w:t>
      </w:r>
      <w:bookmarkEnd w:id="72"/>
    </w:p>
    <w:p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前提条件：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开标前。</w:t>
      </w:r>
    </w:p>
    <w:p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hint="eastAsia" w:ascii="思源宋体 CN" w:hAnsi="思源宋体 CN" w:eastAsia="思源宋体 CN"/>
          <w:bCs/>
          <w:color w:val="000000" w:themeColor="text1"/>
          <w14:textFill>
            <w14:solidFill>
              <w14:schemeClr w14:val="tx1"/>
            </w14:solidFill>
          </w14:textFill>
        </w:rPr>
        <w:t>对有疑问的标段进行提问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。</w:t>
      </w:r>
    </w:p>
    <w:p>
      <w:pPr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1、项目流程页面，点击“提问”菜单，进入问题查看页面，如果是开标前，可以新增提问，如下图：</w:t>
      </w:r>
    </w:p>
    <w:p>
      <w:pPr>
        <w:ind w:left="420" w:leftChars="200" w:firstLine="0" w:firstLineChars="0"/>
      </w:pPr>
      <w:r>
        <w:drawing>
          <wp:inline distT="0" distB="0" distL="114300" distR="114300">
            <wp:extent cx="5234305" cy="2299335"/>
            <wp:effectExtent l="0" t="0" r="4445" b="5715"/>
            <wp:docPr id="44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34305" cy="2299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45100" cy="1462405"/>
            <wp:effectExtent l="0" t="0" r="12700" b="4445"/>
            <wp:docPr id="4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45100" cy="146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0"/>
          <w:numId w:val="0"/>
        </w:num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73" w:name="_Toc59612933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3.2.1</w:t>
      </w:r>
      <w:r>
        <w:rPr>
          <w:rFonts w:hint="eastAsia" w:ascii="思源宋体 CN" w:hAnsi="思源宋体 CN" w:eastAsia="思源宋体 CN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0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、异议</w:t>
      </w:r>
      <w:bookmarkEnd w:id="73"/>
    </w:p>
    <w:p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前提条件：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hint="eastAsia" w:ascii="思源宋体 CN" w:hAnsi="思源宋体 CN" w:eastAsia="思源宋体 CN"/>
          <w:bCs/>
          <w:color w:val="000000" w:themeColor="text1"/>
          <w14:textFill>
            <w14:solidFill>
              <w14:schemeClr w14:val="tx1"/>
            </w14:solidFill>
          </w14:textFill>
        </w:rPr>
        <w:t>对有疑问的标段发起异议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。</w:t>
      </w:r>
    </w:p>
    <w:p>
      <w:pPr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>
      <w:pPr>
        <w:pStyle w:val="36"/>
        <w:numPr>
          <w:ilvl w:val="0"/>
          <w:numId w:val="6"/>
        </w:numPr>
        <w:ind w:firstLineChars="0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项目流程页面，点击“异议”菜单，进入异议查看页面，如下图：</w:t>
      </w:r>
    </w:p>
    <w:p>
      <w:pPr>
        <w:ind w:left="420" w:firstLine="0" w:firstLineChars="0"/>
      </w:pPr>
      <w:r>
        <w:drawing>
          <wp:inline distT="0" distB="0" distL="114300" distR="114300">
            <wp:extent cx="5243830" cy="2393315"/>
            <wp:effectExtent l="0" t="0" r="13970" b="6985"/>
            <wp:docPr id="4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7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43830" cy="239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0" w:firstLine="0" w:firstLineChars="0"/>
      </w:pPr>
      <w:r>
        <w:drawing>
          <wp:inline distT="0" distB="0" distL="114300" distR="114300">
            <wp:extent cx="5241290" cy="1492250"/>
            <wp:effectExtent l="0" t="0" r="16510" b="12700"/>
            <wp:docPr id="4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18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41290" cy="149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45735" cy="2082800"/>
            <wp:effectExtent l="0" t="0" r="12065" b="12700"/>
            <wp:docPr id="51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19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45735" cy="208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rPr>
          <w:rFonts w:ascii="思源宋体 CN" w:hAnsi="思源宋体 CN" w:eastAsia="思源宋体 CN"/>
        </w:rPr>
      </w:pPr>
      <w:bookmarkStart w:id="74" w:name="_Toc7775"/>
      <w:bookmarkStart w:id="75" w:name="_Toc59544970"/>
      <w:bookmarkStart w:id="76" w:name="_Toc3319"/>
      <w:bookmarkStart w:id="77" w:name="_Toc59612935"/>
      <w:r>
        <w:rPr>
          <w:rFonts w:hint="eastAsia" w:ascii="思源宋体 CN" w:hAnsi="思源宋体 CN" w:eastAsia="思源宋体 CN"/>
        </w:rPr>
        <w:t>中标项目</w:t>
      </w:r>
      <w:bookmarkEnd w:id="74"/>
      <w:bookmarkEnd w:id="75"/>
      <w:bookmarkEnd w:id="76"/>
      <w:bookmarkEnd w:id="77"/>
    </w:p>
    <w:p>
      <w:pPr>
        <w:pStyle w:val="4"/>
        <w:numPr>
          <w:ilvl w:val="0"/>
          <w:numId w:val="0"/>
        </w:numPr>
        <w:rPr>
          <w:rFonts w:hint="eastAsia" w:ascii="思源宋体 CN" w:hAnsi="思源宋体 CN" w:eastAsia="思源宋体 CN"/>
          <w:color w:val="000000" w:themeColor="text1"/>
          <w:lang w:eastAsia="zh-CN"/>
          <w14:textFill>
            <w14:solidFill>
              <w14:schemeClr w14:val="tx1"/>
            </w14:solidFill>
          </w14:textFill>
        </w:rPr>
      </w:pPr>
      <w:bookmarkStart w:id="78" w:name="_Toc59544971"/>
      <w:bookmarkStart w:id="79" w:name="_Toc59612936"/>
      <w:bookmarkStart w:id="80" w:name="_Toc10517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3.3.1、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中标通知书</w:t>
      </w:r>
      <w:bookmarkEnd w:id="78"/>
      <w:bookmarkEnd w:id="79"/>
      <w:bookmarkEnd w:id="80"/>
      <w:r>
        <w:rPr>
          <w:rFonts w:hint="eastAsia" w:ascii="思源宋体 CN" w:hAnsi="思源宋体 CN" w:eastAsia="思源宋体 CN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思源宋体 CN" w:hAnsi="思源宋体 CN" w:eastAsia="思源宋体 CN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线下打印</w:t>
      </w:r>
      <w:r>
        <w:rPr>
          <w:rFonts w:hint="eastAsia" w:ascii="思源宋体 CN" w:hAnsi="思源宋体 CN" w:eastAsia="思源宋体 CN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）</w:t>
      </w:r>
    </w:p>
    <w:p>
      <w:pPr>
        <w:ind w:firstLine="0" w:firstLineChars="0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sectPr>
      <w:footerReference r:id="rId9" w:type="first"/>
      <w:footerReference r:id="rId8" w:type="default"/>
      <w:pgSz w:w="11906" w:h="16838"/>
      <w:pgMar w:top="1440" w:right="1797" w:bottom="1440" w:left="1843" w:header="454" w:footer="680" w:gutter="0"/>
      <w:cols w:space="720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20"/>
      </w:pPr>
      <w:r>
        <w:separator/>
      </w:r>
    </w:p>
  </w:endnote>
  <w:endnote w:type="continuationSeparator" w:id="1">
    <w:p>
      <w:pPr>
        <w:spacing w:line="240" w:lineRule="auto"/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monospace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思源宋体 CN">
    <w:altName w:val="宋体"/>
    <w:panose1 w:val="00000000000000000000"/>
    <w:charset w:val="86"/>
    <w:family w:val="roman"/>
    <w:pitch w:val="default"/>
    <w:sig w:usb0="00000000" w:usb1="00000000" w:usb2="00000016" w:usb3="00000000" w:csb0="00060107" w:csb1="00000000"/>
  </w:font>
  <w:font w:name="思源宋体 CN ExtraLight">
    <w:altName w:val="宋体"/>
    <w:panose1 w:val="00000000000000000000"/>
    <w:charset w:val="86"/>
    <w:family w:val="roman"/>
    <w:pitch w:val="default"/>
    <w:sig w:usb0="00000000" w:usb1="00000000" w:usb2="00000016" w:usb3="00000000" w:csb0="00060107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思源宋体 CN">
    <w:altName w:val="宋体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pBdr>
        <w:top w:val="thinThickSmallGap" w:color="823B0B" w:themeColor="accent2" w:themeShade="7F" w:sz="24" w:space="1"/>
      </w:pBdr>
      <w:ind w:firstLine="360"/>
      <w:rPr>
        <w:rFonts w:asciiTheme="majorHAnsi" w:hAnsiTheme="majorHAnsi" w:eastAsiaTheme="majorEastAsia" w:cstheme="majorBidi"/>
      </w:rPr>
    </w:pPr>
    <w:r>
      <w:rPr>
        <w:rFonts w:hint="eastAsia" w:asciiTheme="majorHAnsi" w:hAnsiTheme="majorHAnsi" w:eastAsiaTheme="majorEastAsia" w:cstheme="majorBidi"/>
      </w:rPr>
      <w:t xml:space="preserve">                          国泰</w:t>
    </w:r>
    <w:r>
      <w:rPr>
        <w:rFonts w:asciiTheme="majorHAnsi" w:hAnsiTheme="majorHAnsi" w:eastAsiaTheme="majorEastAsia" w:cstheme="majorBidi"/>
      </w:rPr>
      <w:t>新点软件股份有限公司</w:t>
    </w:r>
    <w:r>
      <w:rPr>
        <w:rFonts w:hint="eastAsia" w:asciiTheme="majorHAnsi" w:hAnsiTheme="majorHAnsi" w:eastAsiaTheme="majorEastAsia" w:cstheme="majorBidi"/>
      </w:rPr>
      <w:t xml:space="preserve"> 0512-58188000 </w:t>
    </w:r>
    <w:r>
      <w:rPr>
        <w:rFonts w:asciiTheme="majorHAnsi" w:hAnsiTheme="majorHAnsi" w:eastAsiaTheme="majorEastAsia" w:cstheme="majorBidi"/>
      </w:rPr>
      <w:ptab w:relativeTo="margin" w:alignment="right" w:leader="none"/>
    </w:r>
    <w:r>
      <w:rPr>
        <w:rFonts w:asciiTheme="majorHAnsi" w:hAnsiTheme="majorHAnsi" w:eastAsiaTheme="majorEastAsia" w:cstheme="majorBidi"/>
        <w:lang w:val="zh-CN"/>
      </w:rPr>
      <w:t xml:space="preserve"> </w:t>
    </w:r>
    <w:r>
      <w:rPr>
        <w:rFonts w:asciiTheme="minorHAnsi" w:hAnsiTheme="minorHAnsi" w:eastAsiaTheme="minorEastAsia" w:cstheme="minorBidi"/>
      </w:rPr>
      <w:fldChar w:fldCharType="begin"/>
    </w:r>
    <w:r>
      <w:instrText xml:space="preserve">PAGE   \* MERGEFORMAT</w:instrText>
    </w:r>
    <w:r>
      <w:rPr>
        <w:rFonts w:asciiTheme="minorHAnsi" w:hAnsiTheme="minorHAnsi" w:eastAsiaTheme="minorEastAsia" w:cstheme="minorBidi"/>
      </w:rPr>
      <w:fldChar w:fldCharType="separate"/>
    </w:r>
    <w:r>
      <w:rPr>
        <w:rFonts w:asciiTheme="majorHAnsi" w:hAnsiTheme="majorHAnsi" w:eastAsiaTheme="majorEastAsia" w:cstheme="majorBidi"/>
        <w:lang w:val="zh-CN"/>
      </w:rPr>
      <w:t>1</w:t>
    </w:r>
    <w:r>
      <w:rPr>
        <w:rFonts w:asciiTheme="majorHAnsi" w:hAnsiTheme="majorHAnsi" w:eastAsiaTheme="majorEastAsia" w:cstheme="majorBidi"/>
      </w:rPr>
      <w:fldChar w:fldCharType="end"/>
    </w:r>
    <w:r>
      <w:rPr>
        <w:rFonts w:hint="eastAsia" w:asciiTheme="majorHAnsi" w:hAnsiTheme="majorHAnsi" w:eastAsiaTheme="majorEastAsia" w:cstheme="majorBidi"/>
      </w:rPr>
      <w:t>/29</w:t>
    </w:r>
  </w:p>
  <w:p>
    <w:pPr>
      <w:pStyle w:val="7"/>
      <w:ind w:firstLine="0" w:firstLineChars="0"/>
      <w:jc w:val="lef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pBdr>
        <w:top w:val="thinThickSmallGap" w:color="823B0B" w:themeColor="accent2" w:themeShade="7F" w:sz="24" w:space="1"/>
      </w:pBdr>
      <w:tabs>
        <w:tab w:val="left" w:pos="2222"/>
        <w:tab w:val="clear" w:pos="4153"/>
        <w:tab w:val="clear" w:pos="8306"/>
      </w:tabs>
      <w:ind w:firstLine="0" w:firstLineChars="0"/>
      <w:jc w:val="left"/>
      <w:rPr>
        <w:rFonts w:asciiTheme="majorHAnsi" w:hAnsiTheme="majorHAnsi" w:eastAsiaTheme="majorEastAsia" w:cstheme="majorBidi"/>
      </w:rPr>
    </w:pPr>
    <w:r>
      <w:rPr>
        <w:rFonts w:asciiTheme="majorHAnsi" w:hAnsiTheme="majorHAnsi" w:eastAsiaTheme="majorEastAsia" w:cstheme="majorBidi"/>
      </w:rPr>
      <w:tab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pBdr>
        <w:top w:val="thinThickSmallGap" w:color="823B0B" w:themeColor="accent2" w:themeShade="7F" w:sz="24" w:space="1"/>
      </w:pBdr>
      <w:ind w:firstLine="360"/>
      <w:rPr>
        <w:rFonts w:asciiTheme="majorHAnsi" w:hAnsiTheme="majorHAnsi" w:eastAsiaTheme="majorEastAsia" w:cstheme="majorBidi"/>
      </w:rPr>
    </w:pPr>
    <w:r>
      <w:rPr>
        <w:rFonts w:hint="eastAsia" w:asciiTheme="majorHAnsi" w:hAnsiTheme="majorHAnsi" w:eastAsiaTheme="majorEastAsia" w:cstheme="majorBidi"/>
      </w:rPr>
      <w:t xml:space="preserve">                          国泰</w:t>
    </w:r>
    <w:r>
      <w:rPr>
        <w:rFonts w:asciiTheme="majorHAnsi" w:hAnsiTheme="majorHAnsi" w:eastAsiaTheme="majorEastAsia" w:cstheme="majorBidi"/>
      </w:rPr>
      <w:t>新点软件股份有限公司</w:t>
    </w:r>
    <w:r>
      <w:rPr>
        <w:rFonts w:hint="eastAsia" w:asciiTheme="majorHAnsi" w:hAnsiTheme="majorHAnsi" w:eastAsiaTheme="majorEastAsia" w:cstheme="majorBidi"/>
      </w:rPr>
      <w:t xml:space="preserve"> 0512-58188000</w:t>
    </w:r>
    <w:r>
      <w:rPr>
        <w:rFonts w:asciiTheme="majorHAnsi" w:hAnsiTheme="majorHAnsi" w:eastAsiaTheme="majorEastAsia" w:cstheme="majorBidi"/>
      </w:rPr>
      <w:ptab w:relativeTo="margin" w:alignment="right" w:leader="none"/>
    </w:r>
    <w:r>
      <w:rPr>
        <w:rFonts w:asciiTheme="majorHAnsi" w:hAnsiTheme="majorHAnsi" w:eastAsiaTheme="majorEastAsia" w:cstheme="majorBidi"/>
        <w:lang w:val="zh-CN"/>
      </w:rPr>
      <w:t xml:space="preserve"> </w:t>
    </w:r>
    <w:r>
      <w:rPr>
        <w:rFonts w:asciiTheme="minorHAnsi" w:hAnsiTheme="minorHAnsi" w:eastAsiaTheme="minorEastAsia" w:cstheme="minorBidi"/>
      </w:rPr>
      <w:fldChar w:fldCharType="begin"/>
    </w:r>
    <w:r>
      <w:instrText xml:space="preserve">PAGE   \* MERGEFORMAT</w:instrText>
    </w:r>
    <w:r>
      <w:rPr>
        <w:rFonts w:asciiTheme="minorHAnsi" w:hAnsiTheme="minorHAnsi" w:eastAsiaTheme="minorEastAsia" w:cstheme="minorBidi"/>
      </w:rPr>
      <w:fldChar w:fldCharType="separate"/>
    </w:r>
    <w:r>
      <w:rPr>
        <w:rFonts w:asciiTheme="majorHAnsi" w:hAnsiTheme="majorHAnsi" w:eastAsiaTheme="majorEastAsia" w:cstheme="majorBidi"/>
        <w:lang w:val="zh-CN"/>
      </w:rPr>
      <w:t>29</w:t>
    </w:r>
    <w:r>
      <w:rPr>
        <w:rFonts w:asciiTheme="majorHAnsi" w:hAnsiTheme="majorHAnsi" w:eastAsiaTheme="majorEastAsia" w:cstheme="majorBidi"/>
      </w:rPr>
      <w:fldChar w:fldCharType="end"/>
    </w:r>
    <w:r>
      <w:rPr>
        <w:rFonts w:hint="eastAsia" w:asciiTheme="majorHAnsi" w:hAnsiTheme="majorHAnsi" w:eastAsiaTheme="majorEastAsia" w:cstheme="majorBidi"/>
      </w:rPr>
      <w:t>/29</w:t>
    </w:r>
  </w:p>
  <w:p>
    <w:pPr>
      <w:pStyle w:val="7"/>
      <w:ind w:firstLine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pBdr>
        <w:top w:val="thinThickSmallGap" w:color="823B0B" w:themeColor="accent2" w:themeShade="7F" w:sz="24" w:space="1"/>
      </w:pBdr>
      <w:ind w:firstLine="0" w:firstLineChars="0"/>
      <w:jc w:val="left"/>
      <w:rPr>
        <w:rFonts w:asciiTheme="majorHAnsi" w:hAnsiTheme="majorHAnsi" w:eastAsiaTheme="majorEastAsia" w:cstheme="majorBidi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20"/>
      </w:pPr>
      <w:r>
        <w:separator/>
      </w:r>
    </w:p>
  </w:footnote>
  <w:footnote w:type="continuationSeparator" w:id="1">
    <w:p>
      <w:pPr>
        <w:spacing w:line="360" w:lineRule="auto"/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thickThinSmallGap" w:color="622423" w:sz="24" w:space="1"/>
      </w:pBdr>
      <w:tabs>
        <w:tab w:val="center" w:pos="4153"/>
        <w:tab w:val="right" w:pos="8306"/>
      </w:tabs>
      <w:snapToGrid w:val="0"/>
      <w:ind w:firstLine="0" w:firstLineChars="0"/>
      <w:rPr>
        <w:rFonts w:ascii="思源宋体 CN ExtraLight" w:hAnsi="思源宋体 CN ExtraLight" w:eastAsia="思源宋体 CN ExtraLight" w:cs="思源宋体 CN ExtraLight"/>
        <w:sz w:val="18"/>
        <w:szCs w:val="18"/>
      </w:rPr>
    </w:pPr>
    <w:r>
      <w:rPr>
        <w:rFonts w:hint="eastAsia" w:ascii="宋体" w:hAnsi="宋体" w:eastAsia="思源宋体 CN ExtraLight"/>
        <w:sz w:val="18"/>
        <w:szCs w:val="18"/>
      </w:rPr>
      <w:drawing>
        <wp:inline distT="0" distB="0" distL="0" distR="0">
          <wp:extent cx="603250" cy="228600"/>
          <wp:effectExtent l="0" t="0" r="6350" b="0"/>
          <wp:docPr id="24" name="图片 24" descr="小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" name="图片 24" descr="小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24896"/>
                  <a:stretch>
                    <a:fillRect/>
                  </a:stretch>
                </pic:blipFill>
                <pic:spPr>
                  <a:xfrm>
                    <a:off x="0" y="0"/>
                    <a:ext cx="603250" cy="228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 w:ascii="思源宋体 CN" w:hAnsi="思源宋体 CN" w:eastAsia="思源宋体 CN" w:cs="思源宋体 CN ExtraLight"/>
        <w:sz w:val="18"/>
        <w:szCs w:val="18"/>
      </w:rPr>
      <w:t xml:space="preserve">新点电子交易平台投标人操作手册   </w:t>
    </w:r>
    <w:r>
      <w:rPr>
        <w:rFonts w:hint="eastAsia" w:ascii="思源宋体 CN" w:hAnsi="思源宋体 CN" w:eastAsia="思源宋体 CN"/>
        <w:sz w:val="18"/>
        <w:szCs w:val="18"/>
      </w:rPr>
      <w:t xml:space="preserve">                           </w:t>
    </w:r>
    <w:r>
      <w:rPr>
        <w:rFonts w:hint="eastAsia" w:ascii="思源宋体 CN" w:hAnsi="思源宋体 CN" w:eastAsia="思源宋体 CN" w:cs="思源宋体 CN ExtraLight"/>
        <w:color w:val="000000"/>
        <w:sz w:val="18"/>
        <w:szCs w:val="18"/>
      </w:rPr>
      <w:t>2020080256-CZSC-002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FFEE09C"/>
    <w:multiLevelType w:val="singleLevel"/>
    <w:tmpl w:val="9FFEE09C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0C7C9CEF"/>
    <w:multiLevelType w:val="multilevel"/>
    <w:tmpl w:val="0C7C9CEF"/>
    <w:lvl w:ilvl="0" w:tentative="0">
      <w:start w:val="1"/>
      <w:numFmt w:val="decimal"/>
      <w:suff w:val="nothing"/>
      <w:lvlText w:val="%1、"/>
      <w:lvlJc w:val="left"/>
    </w:lvl>
    <w:lvl w:ilvl="1" w:tentative="0">
      <w:start w:val="1"/>
      <w:numFmt w:val="decimal"/>
      <w:isLgl/>
      <w:lvlText w:val="%1.%2、"/>
      <w:lvlJc w:val="left"/>
      <w:pPr>
        <w:ind w:left="142" w:firstLine="0"/>
      </w:pPr>
      <w:rPr>
        <w:rFonts w:hint="eastAsia"/>
        <w:b/>
        <w:color w:val="auto"/>
        <w:sz w:val="30"/>
        <w:szCs w:val="30"/>
      </w:rPr>
    </w:lvl>
    <w:lvl w:ilvl="2" w:tentative="0">
      <w:start w:val="1"/>
      <w:numFmt w:val="decimal"/>
      <w:isLgl/>
      <w:lvlText w:val="%1.%2.%3、"/>
      <w:lvlJc w:val="left"/>
      <w:pPr>
        <w:ind w:left="142" w:firstLine="0"/>
      </w:pPr>
      <w:rPr>
        <w:rFonts w:hint="eastAsia"/>
        <w:b/>
        <w:i w:val="0"/>
      </w:rPr>
    </w:lvl>
    <w:lvl w:ilvl="3" w:tentative="0">
      <w:start w:val="1"/>
      <w:numFmt w:val="decimal"/>
      <w:isLgl/>
      <w:lvlText w:val="%1.%2.%3.%4、"/>
      <w:lvlJc w:val="left"/>
      <w:pPr>
        <w:ind w:left="0" w:firstLine="0"/>
      </w:pPr>
      <w:rPr>
        <w:rFonts w:hint="eastAsia"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color w:val="000000"/>
        <w:spacing w:val="0"/>
        <w:w w:val="0"/>
        <w:kern w:val="0"/>
        <w:position w:val="0"/>
        <w:szCs w:val="16"/>
        <w:u w:val="none"/>
      </w:rPr>
    </w:lvl>
    <w:lvl w:ilvl="4" w:tentative="0">
      <w:start w:val="1"/>
      <w:numFmt w:val="decimal"/>
      <w:isLgl/>
      <w:lvlText w:val="%1.%2.%3.%4.%5、"/>
      <w:lvlJc w:val="left"/>
      <w:pPr>
        <w:ind w:left="977" w:hanging="1008"/>
      </w:pPr>
      <w:rPr>
        <w:rFonts w:hint="eastAsia"/>
      </w:rPr>
    </w:lvl>
    <w:lvl w:ilvl="5" w:tentative="0">
      <w:start w:val="1"/>
      <w:numFmt w:val="decimal"/>
      <w:isLgl/>
      <w:lvlText w:val="%1.%2.%3.%4.%5.%6、"/>
      <w:lvlJc w:val="left"/>
      <w:pPr>
        <w:ind w:left="1121" w:hanging="1152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ind w:left="1265" w:hanging="129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ind w:left="1409" w:hanging="1440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ind w:left="1553" w:hanging="1584"/>
      </w:pPr>
      <w:rPr>
        <w:rFonts w:hint="eastAsia"/>
      </w:rPr>
    </w:lvl>
  </w:abstractNum>
  <w:abstractNum w:abstractNumId="2">
    <w:nsid w:val="22375A8C"/>
    <w:multiLevelType w:val="multilevel"/>
    <w:tmpl w:val="22375A8C"/>
    <w:lvl w:ilvl="0" w:tentative="0">
      <w:start w:val="1"/>
      <w:numFmt w:val="decimal"/>
      <w:lvlText w:val="%1"/>
      <w:lvlJc w:val="left"/>
      <w:pPr>
        <w:ind w:left="560" w:hanging="560"/>
      </w:pPr>
      <w:rPr>
        <w:rFonts w:hint="default"/>
      </w:rPr>
    </w:lvl>
    <w:lvl w:ilvl="1" w:tentative="0">
      <w:start w:val="1"/>
      <w:numFmt w:val="decimal"/>
      <w:lvlText w:val="%1.%2"/>
      <w:lvlJc w:val="left"/>
      <w:pPr>
        <w:ind w:left="560" w:hanging="560"/>
      </w:pPr>
      <w:rPr>
        <w:rFonts w:hint="default"/>
      </w:rPr>
    </w:lvl>
    <w:lvl w:ilvl="2" w:tentative="0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 w:tentative="0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 w:tentative="0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 w:tentative="0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 w:tentative="0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 w:tentative="0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 w:tentative="0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3">
    <w:nsid w:val="39D562B5"/>
    <w:multiLevelType w:val="multilevel"/>
    <w:tmpl w:val="39D562B5"/>
    <w:lvl w:ilvl="0" w:tentative="0">
      <w:start w:val="2"/>
      <w:numFmt w:val="decimal"/>
      <w:lvlText w:val="%1、"/>
      <w:lvlJc w:val="left"/>
      <w:pPr>
        <w:ind w:left="1140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4">
    <w:nsid w:val="5C4C21CA"/>
    <w:multiLevelType w:val="multilevel"/>
    <w:tmpl w:val="5C4C21CA"/>
    <w:lvl w:ilvl="0" w:tentative="0">
      <w:start w:val="1"/>
      <w:numFmt w:val="chineseCountingThousand"/>
      <w:pStyle w:val="2"/>
      <w:lvlText w:val="%1、"/>
      <w:lvlJc w:val="left"/>
      <w:pPr>
        <w:ind w:left="0" w:firstLine="0"/>
      </w:pPr>
      <w:rPr>
        <w:rFonts w:hint="eastAsia"/>
        <w:b/>
        <w:lang w:val="en-US"/>
      </w:rPr>
    </w:lvl>
    <w:lvl w:ilvl="1" w:tentative="0">
      <w:start w:val="1"/>
      <w:numFmt w:val="decimal"/>
      <w:pStyle w:val="3"/>
      <w:isLgl/>
      <w:lvlText w:val="%1.%2、"/>
      <w:lvlJc w:val="left"/>
      <w:pPr>
        <w:ind w:left="142" w:firstLine="0"/>
      </w:pPr>
      <w:rPr>
        <w:rFonts w:hint="eastAsia"/>
        <w:b/>
        <w:color w:val="auto"/>
        <w:sz w:val="30"/>
        <w:szCs w:val="30"/>
      </w:rPr>
    </w:lvl>
    <w:lvl w:ilvl="2" w:tentative="0">
      <w:start w:val="1"/>
      <w:numFmt w:val="decimal"/>
      <w:pStyle w:val="4"/>
      <w:isLgl/>
      <w:lvlText w:val="%1.%2.%3、"/>
      <w:lvlJc w:val="left"/>
      <w:pPr>
        <w:ind w:left="142" w:firstLine="0"/>
      </w:pPr>
      <w:rPr>
        <w:rFonts w:hint="eastAsia"/>
        <w:b/>
        <w:i w:val="0"/>
      </w:rPr>
    </w:lvl>
    <w:lvl w:ilvl="3" w:tentative="0">
      <w:start w:val="1"/>
      <w:numFmt w:val="decimal"/>
      <w:isLgl/>
      <w:lvlText w:val="%1.%2.%3.%4、"/>
      <w:lvlJc w:val="left"/>
      <w:pPr>
        <w:ind w:left="0" w:firstLine="0"/>
      </w:pPr>
      <w:rPr>
        <w:rFonts w:hint="eastAsia"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color w:val="000000"/>
        <w:spacing w:val="0"/>
        <w:w w:val="0"/>
        <w:kern w:val="0"/>
        <w:position w:val="0"/>
        <w:szCs w:val="16"/>
        <w:u w:val="none"/>
      </w:rPr>
    </w:lvl>
    <w:lvl w:ilvl="4" w:tentative="0">
      <w:start w:val="1"/>
      <w:numFmt w:val="decimal"/>
      <w:isLgl/>
      <w:lvlText w:val="%1.%2.%3.%4.%5、"/>
      <w:lvlJc w:val="left"/>
      <w:pPr>
        <w:ind w:left="977" w:hanging="1008"/>
      </w:pPr>
      <w:rPr>
        <w:rFonts w:hint="eastAsia"/>
      </w:rPr>
    </w:lvl>
    <w:lvl w:ilvl="5" w:tentative="0">
      <w:start w:val="1"/>
      <w:numFmt w:val="decimal"/>
      <w:isLgl/>
      <w:lvlText w:val="%1.%2.%3.%4.%5.%6、"/>
      <w:lvlJc w:val="left"/>
      <w:pPr>
        <w:ind w:left="1121" w:hanging="1152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ind w:left="1265" w:hanging="129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ind w:left="1409" w:hanging="1440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ind w:left="1553" w:hanging="1584"/>
      </w:pPr>
      <w:rPr>
        <w:rFonts w:hint="eastAsia"/>
      </w:rPr>
    </w:lvl>
  </w:abstractNum>
  <w:abstractNum w:abstractNumId="5">
    <w:nsid w:val="71DF3EB8"/>
    <w:multiLevelType w:val="multilevel"/>
    <w:tmpl w:val="71DF3EB8"/>
    <w:lvl w:ilvl="0" w:tentative="0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4"/>
  </w:num>
  <w:num w:numId="2">
    <w:abstractNumId w:val="2"/>
  </w:num>
  <w:num w:numId="3">
    <w:abstractNumId w:val="1"/>
  </w:num>
  <w:num w:numId="4">
    <w:abstractNumId w:val="3"/>
  </w:num>
  <w:num w:numId="5">
    <w:abstractNumId w:val="0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attachedTemplate r:id="rId1"/>
  <w:documentProtection w:enforcement="0"/>
  <w:defaultTabStop w:val="420"/>
  <w:drawingGridHorizontalSpacing w:val="105"/>
  <w:drawingGridVerticalSpacing w:val="156"/>
  <w:displayHorizontalDrawingGridEvery w:val="2"/>
  <w:displayVerticalDrawingGridEvery w:val="2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E0MGJmZTQ0ZTJiODhkZjZkNTIzNDk2ZThmOTAzNTQifQ=="/>
  </w:docVars>
  <w:rsids>
    <w:rsidRoot w:val="794D07E7"/>
    <w:rsid w:val="000A5472"/>
    <w:rsid w:val="001346CC"/>
    <w:rsid w:val="001748AD"/>
    <w:rsid w:val="00192BCC"/>
    <w:rsid w:val="001B325A"/>
    <w:rsid w:val="002551EE"/>
    <w:rsid w:val="00281EAC"/>
    <w:rsid w:val="002D16C2"/>
    <w:rsid w:val="002E0492"/>
    <w:rsid w:val="002E4A00"/>
    <w:rsid w:val="002F1704"/>
    <w:rsid w:val="0033125E"/>
    <w:rsid w:val="003E0CF4"/>
    <w:rsid w:val="00451EE6"/>
    <w:rsid w:val="004F607A"/>
    <w:rsid w:val="00524D92"/>
    <w:rsid w:val="00541A9B"/>
    <w:rsid w:val="0055070D"/>
    <w:rsid w:val="005D5D92"/>
    <w:rsid w:val="005F25B8"/>
    <w:rsid w:val="006015DC"/>
    <w:rsid w:val="00607B07"/>
    <w:rsid w:val="006C50F9"/>
    <w:rsid w:val="00705EEB"/>
    <w:rsid w:val="00762237"/>
    <w:rsid w:val="007872AF"/>
    <w:rsid w:val="007A5222"/>
    <w:rsid w:val="007D177E"/>
    <w:rsid w:val="007D5A5B"/>
    <w:rsid w:val="007E20B4"/>
    <w:rsid w:val="007F631D"/>
    <w:rsid w:val="00821CAE"/>
    <w:rsid w:val="00823EBA"/>
    <w:rsid w:val="00884199"/>
    <w:rsid w:val="00894AF4"/>
    <w:rsid w:val="008C0CCD"/>
    <w:rsid w:val="009019D2"/>
    <w:rsid w:val="009114AE"/>
    <w:rsid w:val="0091444E"/>
    <w:rsid w:val="009667E2"/>
    <w:rsid w:val="009D0E9C"/>
    <w:rsid w:val="009D2720"/>
    <w:rsid w:val="00A13001"/>
    <w:rsid w:val="00A329E4"/>
    <w:rsid w:val="00A40F1D"/>
    <w:rsid w:val="00A57232"/>
    <w:rsid w:val="00B92BD6"/>
    <w:rsid w:val="00BD45E0"/>
    <w:rsid w:val="00C400D6"/>
    <w:rsid w:val="00CA67F1"/>
    <w:rsid w:val="00CC2114"/>
    <w:rsid w:val="00CE2263"/>
    <w:rsid w:val="00D6278B"/>
    <w:rsid w:val="00D95222"/>
    <w:rsid w:val="00DA3F87"/>
    <w:rsid w:val="00DC016F"/>
    <w:rsid w:val="00E16BF9"/>
    <w:rsid w:val="00E2123B"/>
    <w:rsid w:val="00E33F30"/>
    <w:rsid w:val="00E8763C"/>
    <w:rsid w:val="00F05D4F"/>
    <w:rsid w:val="00F56488"/>
    <w:rsid w:val="01FA43E3"/>
    <w:rsid w:val="034D3B4F"/>
    <w:rsid w:val="07261926"/>
    <w:rsid w:val="09376BA6"/>
    <w:rsid w:val="097B1A21"/>
    <w:rsid w:val="0B9F5137"/>
    <w:rsid w:val="0C6B2090"/>
    <w:rsid w:val="0ECA22C3"/>
    <w:rsid w:val="11595BCF"/>
    <w:rsid w:val="115A411A"/>
    <w:rsid w:val="11EA6266"/>
    <w:rsid w:val="14353662"/>
    <w:rsid w:val="1497684D"/>
    <w:rsid w:val="14F17C4C"/>
    <w:rsid w:val="15E22046"/>
    <w:rsid w:val="163F4C32"/>
    <w:rsid w:val="16CA4D20"/>
    <w:rsid w:val="16E01CDA"/>
    <w:rsid w:val="18980CCD"/>
    <w:rsid w:val="1BF73AD1"/>
    <w:rsid w:val="1C403309"/>
    <w:rsid w:val="1C493A60"/>
    <w:rsid w:val="1F341E6E"/>
    <w:rsid w:val="1F654D23"/>
    <w:rsid w:val="20741E20"/>
    <w:rsid w:val="20B577D6"/>
    <w:rsid w:val="218671B4"/>
    <w:rsid w:val="23375601"/>
    <w:rsid w:val="23A50BD2"/>
    <w:rsid w:val="25440E46"/>
    <w:rsid w:val="26F6321F"/>
    <w:rsid w:val="271B3F22"/>
    <w:rsid w:val="29AA42E8"/>
    <w:rsid w:val="2BAF7959"/>
    <w:rsid w:val="2C2C443C"/>
    <w:rsid w:val="3095741A"/>
    <w:rsid w:val="30E276F9"/>
    <w:rsid w:val="388B5BBA"/>
    <w:rsid w:val="38933D9D"/>
    <w:rsid w:val="38EF47A9"/>
    <w:rsid w:val="3A60582A"/>
    <w:rsid w:val="3CD414BD"/>
    <w:rsid w:val="3D927A08"/>
    <w:rsid w:val="3E9A4BFE"/>
    <w:rsid w:val="47932DF9"/>
    <w:rsid w:val="47EE67D9"/>
    <w:rsid w:val="4BF62663"/>
    <w:rsid w:val="4C316320"/>
    <w:rsid w:val="4E3026EF"/>
    <w:rsid w:val="545C19D1"/>
    <w:rsid w:val="556C63AA"/>
    <w:rsid w:val="58103953"/>
    <w:rsid w:val="5888751C"/>
    <w:rsid w:val="59524254"/>
    <w:rsid w:val="5B422F0C"/>
    <w:rsid w:val="5BCB2738"/>
    <w:rsid w:val="5D526FB1"/>
    <w:rsid w:val="5E0D1853"/>
    <w:rsid w:val="5F844340"/>
    <w:rsid w:val="5FFD5C49"/>
    <w:rsid w:val="6039349E"/>
    <w:rsid w:val="603D4181"/>
    <w:rsid w:val="62536BD9"/>
    <w:rsid w:val="675E2EEB"/>
    <w:rsid w:val="67E1206E"/>
    <w:rsid w:val="6D535020"/>
    <w:rsid w:val="70C75A77"/>
    <w:rsid w:val="70EE51FE"/>
    <w:rsid w:val="7347712D"/>
    <w:rsid w:val="77FE788A"/>
    <w:rsid w:val="790E6C44"/>
    <w:rsid w:val="794D07E7"/>
    <w:rsid w:val="7A576E3B"/>
    <w:rsid w:val="7ABB703F"/>
    <w:rsid w:val="7B5F2E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qFormat="1" w:unhideWhenUsed="0" w:uiPriority="0" w:semiHidden="0" w:name="HTML Acronym"/>
    <w:lsdException w:unhideWhenUsed="0" w:uiPriority="0" w:semiHidden="0" w:name="HTML Address"/>
    <w:lsdException w:qFormat="1" w:unhideWhenUsed="0" w:uiPriority="0" w:semiHidden="0" w:name="HTML Cite"/>
    <w:lsdException w:qFormat="1" w:unhideWhenUsed="0" w:uiPriority="0" w:semiHidden="0" w:name="HTML Code"/>
    <w:lsdException w:qFormat="1" w:unhideWhenUsed="0" w:uiPriority="0" w:semiHidden="0" w:name="HTML Definition"/>
    <w:lsdException w:qFormat="1" w:unhideWhenUsed="0" w:uiPriority="0" w:semiHidden="0" w:name="HTML Keyboard"/>
    <w:lsdException w:unhideWhenUsed="0" w:uiPriority="0" w:semiHidden="0" w:name="HTML Preformatted"/>
    <w:lsdException w:qFormat="1" w:unhideWhenUsed="0" w:uiPriority="0" w:semiHidden="0" w:name="HTML Sample"/>
    <w:lsdException w:qFormat="1" w:unhideWhenUsed="0" w:uiPriority="0" w:semiHidden="0" w:name="HTML Typewriter"/>
    <w:lsdException w:qFormat="1"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ind w:firstLine="420" w:firstLineChars="200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numPr>
        <w:ilvl w:val="0"/>
        <w:numId w:val="1"/>
      </w:numPr>
      <w:tabs>
        <w:tab w:val="left" w:pos="425"/>
      </w:tabs>
      <w:spacing w:before="120" w:after="120"/>
      <w:ind w:firstLineChars="0"/>
      <w:jc w:val="both"/>
      <w:outlineLvl w:val="0"/>
    </w:pPr>
    <w:rPr>
      <w:b/>
      <w:bCs/>
      <w:kern w:val="44"/>
      <w:sz w:val="32"/>
      <w:szCs w:val="28"/>
    </w:rPr>
  </w:style>
  <w:style w:type="paragraph" w:styleId="3">
    <w:name w:val="heading 2"/>
    <w:basedOn w:val="1"/>
    <w:next w:val="1"/>
    <w:qFormat/>
    <w:uiPriority w:val="0"/>
    <w:pPr>
      <w:keepNext/>
      <w:keepLines/>
      <w:numPr>
        <w:ilvl w:val="1"/>
        <w:numId w:val="1"/>
      </w:numPr>
      <w:tabs>
        <w:tab w:val="left" w:pos="567"/>
      </w:tabs>
      <w:adjustRightInd w:val="0"/>
      <w:spacing w:before="120" w:after="120"/>
      <w:ind w:left="0" w:firstLineChars="0"/>
      <w:jc w:val="both"/>
      <w:outlineLvl w:val="1"/>
    </w:pPr>
    <w:rPr>
      <w:b/>
      <w:bCs/>
      <w:sz w:val="30"/>
      <w:szCs w:val="32"/>
    </w:rPr>
  </w:style>
  <w:style w:type="paragraph" w:styleId="4">
    <w:name w:val="heading 3"/>
    <w:basedOn w:val="1"/>
    <w:next w:val="1"/>
    <w:link w:val="37"/>
    <w:qFormat/>
    <w:uiPriority w:val="0"/>
    <w:pPr>
      <w:keepNext/>
      <w:keepLines/>
      <w:numPr>
        <w:ilvl w:val="2"/>
        <w:numId w:val="1"/>
      </w:numPr>
      <w:tabs>
        <w:tab w:val="left" w:pos="567"/>
      </w:tabs>
      <w:adjustRightInd w:val="0"/>
      <w:spacing w:before="120" w:after="120"/>
      <w:ind w:left="0" w:firstLineChars="0"/>
      <w:jc w:val="both"/>
      <w:outlineLvl w:val="2"/>
    </w:pPr>
    <w:rPr>
      <w:b/>
      <w:bCs/>
      <w:sz w:val="28"/>
      <w:szCs w:val="18"/>
    </w:rPr>
  </w:style>
  <w:style w:type="character" w:default="1" w:styleId="13">
    <w:name w:val="Default Paragraph Font"/>
    <w:semiHidden/>
    <w:unhideWhenUsed/>
    <w:qFormat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toc 3"/>
    <w:basedOn w:val="1"/>
    <w:next w:val="1"/>
    <w:qFormat/>
    <w:uiPriority w:val="39"/>
    <w:pPr>
      <w:spacing w:line="240" w:lineRule="auto"/>
      <w:ind w:firstLine="400" w:firstLineChars="400"/>
    </w:pPr>
    <w:rPr>
      <w:rFonts w:cs="Calibri"/>
      <w:iCs/>
      <w:szCs w:val="20"/>
    </w:rPr>
  </w:style>
  <w:style w:type="paragraph" w:styleId="6">
    <w:name w:val="Balloon Text"/>
    <w:basedOn w:val="1"/>
    <w:link w:val="34"/>
    <w:qFormat/>
    <w:uiPriority w:val="0"/>
    <w:pPr>
      <w:spacing w:line="240" w:lineRule="auto"/>
    </w:pPr>
    <w:rPr>
      <w:sz w:val="18"/>
      <w:szCs w:val="18"/>
    </w:rPr>
  </w:style>
  <w:style w:type="paragraph" w:styleId="7">
    <w:name w:val="footer"/>
    <w:basedOn w:val="1"/>
    <w:link w:val="38"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header"/>
    <w:basedOn w:val="1"/>
    <w:link w:val="39"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toc 1"/>
    <w:basedOn w:val="1"/>
    <w:next w:val="1"/>
    <w:qFormat/>
    <w:uiPriority w:val="39"/>
    <w:pPr>
      <w:spacing w:line="240" w:lineRule="auto"/>
      <w:ind w:firstLine="0" w:firstLineChars="0"/>
    </w:pPr>
    <w:rPr>
      <w:rFonts w:cs="Calibri"/>
      <w:bCs/>
      <w:caps/>
      <w:szCs w:val="20"/>
    </w:rPr>
  </w:style>
  <w:style w:type="paragraph" w:styleId="10">
    <w:name w:val="toc 2"/>
    <w:basedOn w:val="1"/>
    <w:next w:val="1"/>
    <w:qFormat/>
    <w:uiPriority w:val="39"/>
    <w:pPr>
      <w:spacing w:line="240" w:lineRule="auto"/>
      <w:ind w:firstLine="200"/>
    </w:pPr>
    <w:rPr>
      <w:rFonts w:cs="Calibri"/>
      <w:smallCaps/>
      <w:szCs w:val="20"/>
    </w:rPr>
  </w:style>
  <w:style w:type="table" w:styleId="12">
    <w:name w:val="Table Grid"/>
    <w:basedOn w:val="11"/>
    <w:qFormat/>
    <w:uiPriority w:val="0"/>
    <w:rPr>
      <w:rFonts w:ascii="Calibri" w:hAnsi="Calibri" w:eastAsia="宋体" w:cs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4">
    <w:name w:val="Strong"/>
    <w:basedOn w:val="13"/>
    <w:qFormat/>
    <w:uiPriority w:val="0"/>
    <w:rPr>
      <w:b/>
    </w:rPr>
  </w:style>
  <w:style w:type="character" w:styleId="15">
    <w:name w:val="FollowedHyperlink"/>
    <w:basedOn w:val="13"/>
    <w:qFormat/>
    <w:uiPriority w:val="0"/>
    <w:rPr>
      <w:color w:val="800080"/>
      <w:u w:val="none"/>
    </w:rPr>
  </w:style>
  <w:style w:type="character" w:styleId="16">
    <w:name w:val="Emphasis"/>
    <w:basedOn w:val="13"/>
    <w:qFormat/>
    <w:uiPriority w:val="0"/>
    <w:rPr>
      <w:b/>
    </w:rPr>
  </w:style>
  <w:style w:type="character" w:styleId="17">
    <w:name w:val="HTML Definition"/>
    <w:basedOn w:val="13"/>
    <w:qFormat/>
    <w:uiPriority w:val="0"/>
  </w:style>
  <w:style w:type="character" w:styleId="18">
    <w:name w:val="HTML Typewriter"/>
    <w:basedOn w:val="13"/>
    <w:qFormat/>
    <w:uiPriority w:val="0"/>
    <w:rPr>
      <w:rFonts w:hint="default" w:ascii="monospace" w:hAnsi="monospace" w:eastAsia="monospace" w:cs="monospace"/>
      <w:sz w:val="20"/>
    </w:rPr>
  </w:style>
  <w:style w:type="character" w:styleId="19">
    <w:name w:val="HTML Acronym"/>
    <w:basedOn w:val="13"/>
    <w:qFormat/>
    <w:uiPriority w:val="0"/>
  </w:style>
  <w:style w:type="character" w:styleId="20">
    <w:name w:val="HTML Variable"/>
    <w:basedOn w:val="13"/>
    <w:qFormat/>
    <w:uiPriority w:val="0"/>
  </w:style>
  <w:style w:type="character" w:styleId="21">
    <w:name w:val="Hyperlink"/>
    <w:qFormat/>
    <w:uiPriority w:val="99"/>
    <w:rPr>
      <w:color w:val="0000FF"/>
      <w:u w:val="single"/>
    </w:rPr>
  </w:style>
  <w:style w:type="character" w:styleId="22">
    <w:name w:val="HTML Code"/>
    <w:basedOn w:val="13"/>
    <w:qFormat/>
    <w:uiPriority w:val="0"/>
    <w:rPr>
      <w:rFonts w:hint="default" w:ascii="monospace" w:hAnsi="monospace" w:eastAsia="monospace" w:cs="monospace"/>
      <w:sz w:val="20"/>
    </w:rPr>
  </w:style>
  <w:style w:type="character" w:styleId="23">
    <w:name w:val="HTML Cite"/>
    <w:basedOn w:val="13"/>
    <w:qFormat/>
    <w:uiPriority w:val="0"/>
  </w:style>
  <w:style w:type="character" w:styleId="24">
    <w:name w:val="HTML Keyboard"/>
    <w:basedOn w:val="13"/>
    <w:qFormat/>
    <w:uiPriority w:val="0"/>
    <w:rPr>
      <w:rFonts w:ascii="monospace" w:hAnsi="monospace" w:eastAsia="monospace" w:cs="monospace"/>
      <w:sz w:val="20"/>
    </w:rPr>
  </w:style>
  <w:style w:type="character" w:styleId="25">
    <w:name w:val="HTML Sample"/>
    <w:basedOn w:val="13"/>
    <w:qFormat/>
    <w:uiPriority w:val="0"/>
    <w:rPr>
      <w:rFonts w:hint="default" w:ascii="monospace" w:hAnsi="monospace" w:eastAsia="monospace" w:cs="monospace"/>
    </w:rPr>
  </w:style>
  <w:style w:type="paragraph" w:customStyle="1" w:styleId="26">
    <w:name w:val="1"/>
    <w:basedOn w:val="1"/>
    <w:qFormat/>
    <w:uiPriority w:val="0"/>
    <w:pPr>
      <w:ind w:firstLine="0" w:firstLineChars="0"/>
    </w:pPr>
  </w:style>
  <w:style w:type="paragraph" w:customStyle="1" w:styleId="27">
    <w:name w:val="Indent Normal"/>
    <w:basedOn w:val="1"/>
    <w:qFormat/>
    <w:uiPriority w:val="0"/>
    <w:pPr>
      <w:ind w:firstLine="150" w:firstLineChars="150"/>
    </w:pPr>
    <w:rPr>
      <w:sz w:val="24"/>
    </w:rPr>
  </w:style>
  <w:style w:type="paragraph" w:customStyle="1" w:styleId="28">
    <w:name w:val="样式1"/>
    <w:basedOn w:val="1"/>
    <w:qFormat/>
    <w:uiPriority w:val="0"/>
    <w:pPr>
      <w:spacing w:line="300" w:lineRule="auto"/>
      <w:ind w:firstLine="480"/>
    </w:pPr>
    <w:rPr>
      <w:sz w:val="24"/>
    </w:rPr>
  </w:style>
  <w:style w:type="paragraph" w:styleId="29">
    <w:name w:val="No Spacing"/>
    <w:qFormat/>
    <w:uiPriority w:val="1"/>
    <w:pPr>
      <w:widowControl w:val="0"/>
      <w:spacing w:line="360" w:lineRule="auto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30">
    <w:name w:val="列出段落2"/>
    <w:basedOn w:val="1"/>
    <w:qFormat/>
    <w:uiPriority w:val="34"/>
    <w:pPr>
      <w:spacing w:line="240" w:lineRule="auto"/>
      <w:jc w:val="both"/>
    </w:pPr>
    <w:rPr>
      <w:rFonts w:ascii="Calibri" w:hAnsi="Calibri"/>
      <w:szCs w:val="22"/>
    </w:rPr>
  </w:style>
  <w:style w:type="character" w:customStyle="1" w:styleId="31">
    <w:name w:val="text1"/>
    <w:basedOn w:val="13"/>
    <w:qFormat/>
    <w:uiPriority w:val="0"/>
    <w:rPr>
      <w:color w:val="728DD3"/>
    </w:rPr>
  </w:style>
  <w:style w:type="paragraph" w:customStyle="1" w:styleId="32">
    <w:name w:val="WPSOffice手动目录 1"/>
    <w:qFormat/>
    <w:uiPriority w:val="0"/>
    <w:rPr>
      <w:rFonts w:asciiTheme="minorHAnsi" w:hAnsiTheme="minorHAnsi" w:eastAsiaTheme="minorEastAsia" w:cstheme="minorBidi"/>
      <w:lang w:val="en-US" w:eastAsia="zh-CN" w:bidi="ar-SA"/>
    </w:rPr>
  </w:style>
  <w:style w:type="paragraph" w:customStyle="1" w:styleId="33">
    <w:name w:val="WPSOffice手动目录 2"/>
    <w:qFormat/>
    <w:uiPriority w:val="0"/>
    <w:pPr>
      <w:ind w:left="200" w:leftChars="200"/>
    </w:pPr>
    <w:rPr>
      <w:rFonts w:asciiTheme="minorHAnsi" w:hAnsiTheme="minorHAnsi" w:eastAsiaTheme="minorEastAsia" w:cstheme="minorBidi"/>
      <w:lang w:val="en-US" w:eastAsia="zh-CN" w:bidi="ar-SA"/>
    </w:rPr>
  </w:style>
  <w:style w:type="character" w:customStyle="1" w:styleId="34">
    <w:name w:val="批注框文本 Char"/>
    <w:basedOn w:val="13"/>
    <w:link w:val="6"/>
    <w:qFormat/>
    <w:uiPriority w:val="0"/>
    <w:rPr>
      <w:rFonts w:ascii="Times New Roman" w:hAnsi="Times New Roman" w:eastAsia="宋体" w:cs="Times New Roman"/>
      <w:kern w:val="2"/>
      <w:sz w:val="18"/>
      <w:szCs w:val="18"/>
    </w:rPr>
  </w:style>
  <w:style w:type="paragraph" w:customStyle="1" w:styleId="35">
    <w:name w:val="TOC Heading"/>
    <w:basedOn w:val="2"/>
    <w:next w:val="1"/>
    <w:unhideWhenUsed/>
    <w:qFormat/>
    <w:uiPriority w:val="39"/>
    <w:pPr>
      <w:widowControl/>
      <w:numPr>
        <w:numId w:val="0"/>
      </w:numPr>
      <w:tabs>
        <w:tab w:val="clear" w:pos="425"/>
      </w:tabs>
      <w:spacing w:before="480" w:after="0" w:line="276" w:lineRule="auto"/>
      <w:jc w:val="left"/>
      <w:outlineLvl w:val="9"/>
    </w:pPr>
    <w:rPr>
      <w:rFonts w:asciiTheme="majorHAnsi" w:hAnsiTheme="majorHAnsi" w:eastAsiaTheme="majorEastAsia" w:cstheme="majorBidi"/>
      <w:color w:val="2E75B6" w:themeColor="accent1" w:themeShade="BF"/>
      <w:kern w:val="0"/>
      <w:sz w:val="28"/>
    </w:rPr>
  </w:style>
  <w:style w:type="paragraph" w:styleId="36">
    <w:name w:val="List Paragraph"/>
    <w:basedOn w:val="1"/>
    <w:unhideWhenUsed/>
    <w:qFormat/>
    <w:uiPriority w:val="99"/>
  </w:style>
  <w:style w:type="character" w:customStyle="1" w:styleId="37">
    <w:name w:val="标题 3 Char"/>
    <w:basedOn w:val="13"/>
    <w:link w:val="4"/>
    <w:qFormat/>
    <w:uiPriority w:val="0"/>
    <w:rPr>
      <w:rFonts w:ascii="Times New Roman" w:hAnsi="Times New Roman" w:eastAsia="宋体" w:cs="Times New Roman"/>
      <w:b/>
      <w:bCs/>
      <w:kern w:val="2"/>
      <w:sz w:val="28"/>
      <w:szCs w:val="18"/>
    </w:rPr>
  </w:style>
  <w:style w:type="character" w:customStyle="1" w:styleId="38">
    <w:name w:val="页脚 Char"/>
    <w:basedOn w:val="13"/>
    <w:link w:val="7"/>
    <w:qFormat/>
    <w:uiPriority w:val="99"/>
    <w:rPr>
      <w:rFonts w:ascii="Times New Roman" w:hAnsi="Times New Roman" w:eastAsia="宋体" w:cs="Times New Roman"/>
      <w:kern w:val="2"/>
      <w:sz w:val="18"/>
      <w:szCs w:val="18"/>
    </w:rPr>
  </w:style>
  <w:style w:type="character" w:customStyle="1" w:styleId="39">
    <w:name w:val="页眉 Char"/>
    <w:basedOn w:val="13"/>
    <w:link w:val="8"/>
    <w:qFormat/>
    <w:uiPriority w:val="99"/>
    <w:rPr>
      <w:rFonts w:ascii="Times New Roman" w:hAnsi="Times New Roman" w:eastAsia="宋体" w:cs="Times New Roman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4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5" Type="http://schemas.openxmlformats.org/officeDocument/2006/relationships/fontTable" Target="fontTable.xml"/><Relationship Id="rId44" Type="http://schemas.openxmlformats.org/officeDocument/2006/relationships/customXml" Target="../customXml/item1.xml"/><Relationship Id="rId43" Type="http://schemas.openxmlformats.org/officeDocument/2006/relationships/numbering" Target="numbering.xml"/><Relationship Id="rId42" Type="http://schemas.openxmlformats.org/officeDocument/2006/relationships/image" Target="media/image33.png"/><Relationship Id="rId41" Type="http://schemas.openxmlformats.org/officeDocument/2006/relationships/image" Target="media/image32.png"/><Relationship Id="rId40" Type="http://schemas.openxmlformats.org/officeDocument/2006/relationships/image" Target="media/image31.png"/><Relationship Id="rId4" Type="http://schemas.openxmlformats.org/officeDocument/2006/relationships/endnotes" Target="endnotes.xml"/><Relationship Id="rId39" Type="http://schemas.openxmlformats.org/officeDocument/2006/relationships/image" Target="media/image30.png"/><Relationship Id="rId38" Type="http://schemas.openxmlformats.org/officeDocument/2006/relationships/image" Target="media/image29.png"/><Relationship Id="rId37" Type="http://schemas.openxmlformats.org/officeDocument/2006/relationships/image" Target="media/image28.png"/><Relationship Id="rId36" Type="http://schemas.openxmlformats.org/officeDocument/2006/relationships/image" Target="media/image27.png"/><Relationship Id="rId35" Type="http://schemas.openxmlformats.org/officeDocument/2006/relationships/image" Target="media/image26.png"/><Relationship Id="rId34" Type="http://schemas.openxmlformats.org/officeDocument/2006/relationships/image" Target="media/image25.png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footnotes" Target="footnotes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AppData\Roaming\Kingsoft\wps\addons\pool\win-i386\knewfileruby_1.0.0.11\template\wps\0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02C8580-2115-4EBE-8BD8-C58EA238F28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Company>Home</Company>
  <Pages>1</Pages>
  <Words>795</Words>
  <Characters>4537</Characters>
  <Lines>37</Lines>
  <Paragraphs>10</Paragraphs>
  <TotalTime>16</TotalTime>
  <ScaleCrop>false</ScaleCrop>
  <LinksUpToDate>false</LinksUpToDate>
  <CharactersWithSpaces>5322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2018-08-14T08:38:00Z</dcterms:created>
  <dc:creator>﹎ωǒ们偠开鈊</dc:creator>
  <cp:lastModifiedBy>那就随你喽</cp:lastModifiedBy>
  <dcterms:modified xsi:type="dcterms:W3CDTF">2023-10-19T02:20:25Z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81C23D106B4B49DDBC42DAB471E2A188</vt:lpwstr>
  </property>
</Properties>
</file>